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E7133" w14:textId="14963560" w:rsidR="00ED1679" w:rsidRPr="00547210" w:rsidRDefault="001F1B80" w:rsidP="00547210">
      <w:pPr>
        <w:ind w:left="720" w:hanging="720"/>
        <w:jc w:val="right"/>
        <w:rPr>
          <w:sz w:val="32"/>
        </w:rPr>
      </w:pPr>
      <w:bookmarkStart w:id="0" w:name="_GoBack"/>
      <w:bookmarkEnd w:id="0"/>
      <w:r>
        <w:rPr>
          <w:sz w:val="32"/>
        </w:rPr>
        <w:t>Stephen T</w:t>
      </w:r>
    </w:p>
    <w:p w14:paraId="47033E8D" w14:textId="0858F9EA" w:rsidR="00ED1679" w:rsidRPr="00990590" w:rsidRDefault="001F1B80">
      <w:pPr>
        <w:rPr>
          <w:sz w:val="16"/>
        </w:rPr>
      </w:pPr>
      <w:r>
        <w:rPr>
          <w:sz w:val="38"/>
        </w:rPr>
        <w:t>Quintessential Proof</w:t>
      </w:r>
    </w:p>
    <w:p w14:paraId="5B33E04E" w14:textId="21B2A335" w:rsidR="00990590" w:rsidRDefault="00990590">
      <w:r>
        <w:rPr>
          <w:noProof/>
          <w:lang w:val="en-US"/>
        </w:rPr>
        <w:drawing>
          <wp:inline distT="0" distB="0" distL="0" distR="0" wp14:anchorId="5C5CEFA4" wp14:editId="5A450B84">
            <wp:extent cx="3886200" cy="144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0" cy="1447800"/>
                    </a:xfrm>
                    <a:prstGeom prst="rect">
                      <a:avLst/>
                    </a:prstGeom>
                    <a:noFill/>
                    <a:ln>
                      <a:noFill/>
                    </a:ln>
                  </pic:spPr>
                </pic:pic>
              </a:graphicData>
            </a:graphic>
          </wp:inline>
        </w:drawing>
      </w:r>
    </w:p>
    <w:p w14:paraId="2A6A7D95" w14:textId="643F76A3" w:rsidR="00990590" w:rsidRDefault="00990590">
      <w:r>
        <w:t>Here it is asking how the blue and green areas are related to the red area. To further the investigation we must identifying the relation between the sides of the triangles.</w:t>
      </w:r>
    </w:p>
    <w:p w14:paraId="3E33CCAA" w14:textId="4C69D2BC" w:rsidR="00990590" w:rsidRDefault="00760DCC">
      <w:r>
        <w:t>We know that ΔADC ~ ΔACB as they both contain a right angle and the same angle A. this is known AAA rule.</w:t>
      </w:r>
    </w:p>
    <w:p w14:paraId="00BF77F6" w14:textId="50953601" w:rsidR="00760DCC" w:rsidRDefault="00760DCC">
      <w:r>
        <w:t>From here we know that the ratios of the sides are the same</w:t>
      </w:r>
    </w:p>
    <w:p w14:paraId="5B41F879" w14:textId="75553F74" w:rsidR="00760DCC" w:rsidRDefault="001F1B80">
      <m:oMathPara>
        <m:oMath>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rPr>
            <m:t>=</m:t>
          </m:r>
          <m:f>
            <m:fPr>
              <m:ctrlPr>
                <w:rPr>
                  <w:rFonts w:ascii="Cambria Math" w:hAnsi="Cambria Math"/>
                  <w:i/>
                </w:rPr>
              </m:ctrlPr>
            </m:fPr>
            <m:num>
              <m:r>
                <w:rPr>
                  <w:rFonts w:ascii="Cambria Math" w:hAnsi="Cambria Math"/>
                </w:rPr>
                <m:t>AD</m:t>
              </m:r>
            </m:num>
            <m:den>
              <m:r>
                <w:rPr>
                  <w:rFonts w:ascii="Cambria Math" w:hAnsi="Cambria Math"/>
                </w:rPr>
                <m:t>AC</m:t>
              </m:r>
            </m:den>
          </m:f>
        </m:oMath>
      </m:oMathPara>
    </w:p>
    <w:p w14:paraId="182C6316" w14:textId="661B60DB" w:rsidR="00760DCC" w:rsidRDefault="00760DCC">
      <w:r>
        <w:t>These can be then replace with the appropriate labels from the diagram</w:t>
      </w:r>
    </w:p>
    <w:p w14:paraId="6A53D911" w14:textId="12F0EC6F" w:rsidR="00760DCC" w:rsidRDefault="001F1B80">
      <m:oMathPara>
        <m:oMath>
          <m:f>
            <m:fPr>
              <m:ctrlPr>
                <w:rPr>
                  <w:rFonts w:ascii="Cambria Math" w:hAnsi="Cambria Math"/>
                  <w:i/>
                </w:rPr>
              </m:ctrlPr>
            </m:fPr>
            <m:num>
              <m:r>
                <w:rPr>
                  <w:rFonts w:ascii="Cambria Math" w:hAnsi="Cambria Math"/>
                </w:rPr>
                <m:t>a</m:t>
              </m:r>
            </m:num>
            <m:den>
              <m:r>
                <w:rPr>
                  <w:rFonts w:ascii="Cambria Math" w:hAnsi="Cambria Math"/>
                </w:rPr>
                <m:t>c</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a</m:t>
              </m:r>
            </m:den>
          </m:f>
        </m:oMath>
      </m:oMathPara>
    </w:p>
    <w:p w14:paraId="5C827A71" w14:textId="47842AE9" w:rsidR="00990590" w:rsidRDefault="00760DCC">
      <w:r>
        <w:t>Cross multiplying to simplify</w:t>
      </w:r>
    </w:p>
    <w:p w14:paraId="6D1D8690" w14:textId="65942164" w:rsidR="00760DCC" w:rsidRDefault="001F1B80" w:rsidP="00760DCC">
      <m:oMathPara>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=cd</m:t>
          </m:r>
        </m:oMath>
      </m:oMathPara>
    </w:p>
    <w:p w14:paraId="219BB28D" w14:textId="1C6977F0" w:rsidR="00760DCC" w:rsidRDefault="00760DCC">
      <w:r>
        <w:t>We can also do the same for the blue area.</w:t>
      </w:r>
    </w:p>
    <w:p w14:paraId="0C6511D3" w14:textId="66DB5239" w:rsidR="00760DCC" w:rsidRDefault="00760DCC">
      <w:r>
        <w:t>ΔBDC ~ ΔBCA due to both containing a right angle and the same angle B.</w:t>
      </w:r>
    </w:p>
    <w:p w14:paraId="06EE41A8" w14:textId="25952532" w:rsidR="00760DCC" w:rsidRDefault="00760DCC">
      <w:r>
        <w:t>Again the ratios are the same.</w:t>
      </w:r>
    </w:p>
    <w:p w14:paraId="65C0C28F" w14:textId="00784149" w:rsidR="00760DCC" w:rsidRPr="00760DCC" w:rsidRDefault="001F1B80" w:rsidP="00760DCC">
      <m:oMathPara>
        <m:oMath>
          <m:f>
            <m:fPr>
              <m:ctrlPr>
                <w:rPr>
                  <w:rFonts w:ascii="Cambria Math" w:hAnsi="Cambria Math"/>
                  <w:i/>
                </w:rPr>
              </m:ctrlPr>
            </m:fPr>
            <m:num>
              <m:r>
                <w:rPr>
                  <w:rFonts w:ascii="Cambria Math" w:hAnsi="Cambria Math"/>
                </w:rPr>
                <m:t>BC</m:t>
              </m:r>
            </m:num>
            <m:den>
              <m:r>
                <w:rPr>
                  <w:rFonts w:ascii="Cambria Math" w:hAnsi="Cambria Math"/>
                </w:rPr>
                <m:t>BA</m:t>
              </m:r>
            </m:den>
          </m:f>
          <m:r>
            <w:rPr>
              <w:rFonts w:ascii="Cambria Math" w:hAnsi="Cambria Math"/>
            </w:rPr>
            <m:t>=</m:t>
          </m:r>
          <m:f>
            <m:fPr>
              <m:ctrlPr>
                <w:rPr>
                  <w:rFonts w:ascii="Cambria Math" w:hAnsi="Cambria Math"/>
                  <w:i/>
                </w:rPr>
              </m:ctrlPr>
            </m:fPr>
            <m:num>
              <m:r>
                <w:rPr>
                  <w:rFonts w:ascii="Cambria Math" w:hAnsi="Cambria Math"/>
                </w:rPr>
                <m:t>BD</m:t>
              </m:r>
            </m:num>
            <m:den>
              <m:r>
                <w:rPr>
                  <w:rFonts w:ascii="Cambria Math" w:hAnsi="Cambria Math"/>
                </w:rPr>
                <m:t>BC</m:t>
              </m:r>
            </m:den>
          </m:f>
        </m:oMath>
      </m:oMathPara>
    </w:p>
    <w:p w14:paraId="206D4F4F" w14:textId="491C675F" w:rsidR="00760DCC" w:rsidRDefault="00760DCC" w:rsidP="00760DCC">
      <w:r>
        <w:t>Replace these with variables common in the diagrams</w:t>
      </w:r>
    </w:p>
    <w:p w14:paraId="61B681B9" w14:textId="24389499" w:rsidR="00760DCC" w:rsidRDefault="001F1B80" w:rsidP="00760DCC">
      <m:oMathPara>
        <m:oMath>
          <m:f>
            <m:fPr>
              <m:ctrlPr>
                <w:rPr>
                  <w:rFonts w:ascii="Cambria Math" w:hAnsi="Cambria Math"/>
                  <w:i/>
                </w:rPr>
              </m:ctrlPr>
            </m:fPr>
            <m:num>
              <m:r>
                <w:rPr>
                  <w:rFonts w:ascii="Cambria Math" w:hAnsi="Cambria Math"/>
                </w:rPr>
                <m:t>b</m:t>
              </m:r>
            </m:num>
            <m:den>
              <m:r>
                <w:rPr>
                  <w:rFonts w:ascii="Cambria Math" w:hAnsi="Cambria Math"/>
                </w:rPr>
                <m:t>c</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b</m:t>
              </m:r>
            </m:den>
          </m:f>
        </m:oMath>
      </m:oMathPara>
    </w:p>
    <w:p w14:paraId="27462594" w14:textId="64FDE672" w:rsidR="00760DCC" w:rsidRDefault="00760DCC" w:rsidP="00760DCC">
      <w:r>
        <w:t>Cross multiply to simplify</w:t>
      </w:r>
    </w:p>
    <w:p w14:paraId="516CB0BF" w14:textId="4FA64C48" w:rsidR="00760DCC" w:rsidRDefault="001F1B80" w:rsidP="00760DCC">
      <m:oMathPara>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=ce</m:t>
          </m:r>
        </m:oMath>
      </m:oMathPara>
    </w:p>
    <w:p w14:paraId="7F1361A0" w14:textId="3323C661" w:rsidR="00760DCC" w:rsidRDefault="00760DCC">
      <w:r>
        <w:t>These 2 equations can now be added together and factorised to form</w:t>
      </w:r>
    </w:p>
    <w:p w14:paraId="7E7E4682" w14:textId="58807632" w:rsidR="00760DCC" w:rsidRDefault="001F1B80" w:rsidP="00760DCC">
      <m:oMathPara>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=c(d+e)</m:t>
          </m:r>
        </m:oMath>
      </m:oMathPara>
    </w:p>
    <w:p w14:paraId="162F6433" w14:textId="7323CB30" w:rsidR="00760DCC" w:rsidRDefault="00760DCC">
      <w:r>
        <w:t>However d and e add to equal c</w:t>
      </w:r>
    </w:p>
    <w:p w14:paraId="6A525214" w14:textId="718B6232" w:rsidR="00760DCC" w:rsidRDefault="001F1B80">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p w14:paraId="5AC0E79D" w14:textId="0E9999E7" w:rsidR="00547210" w:rsidRPr="00547210" w:rsidRDefault="00547210">
      <w:r>
        <w:t>The green area shaded is a percentage of the area formed by a</w:t>
      </w:r>
      <w:r>
        <w:rPr>
          <w:vertAlign w:val="superscript"/>
        </w:rPr>
        <w:t>2</w:t>
      </w:r>
      <w:r>
        <w:t>. The blue area is a percentage of the area formed by b</w:t>
      </w:r>
      <w:r>
        <w:rPr>
          <w:vertAlign w:val="superscript"/>
        </w:rPr>
        <w:t>2</w:t>
      </w:r>
      <w:r>
        <w:t>. However due to both triangles being similar ΔACD ~ ΔCBA the sides are of the same ratio and such the percentage of the area formed by a</w:t>
      </w:r>
      <w:r>
        <w:rPr>
          <w:vertAlign w:val="superscript"/>
        </w:rPr>
        <w:t>2</w:t>
      </w:r>
      <w:r>
        <w:t xml:space="preserve"> and b</w:t>
      </w:r>
      <w:r>
        <w:rPr>
          <w:vertAlign w:val="superscript"/>
        </w:rPr>
        <w:t>2</w:t>
      </w:r>
      <w:r>
        <w:t xml:space="preserve"> are equal. ΔABC ~ ΔACD so now the same ruling can be applied to the red area. It also is the same percentage of c</w:t>
      </w:r>
      <w:r>
        <w:rPr>
          <w:vertAlign w:val="superscript"/>
        </w:rPr>
        <w:t>2</w:t>
      </w:r>
      <w:r>
        <w:t xml:space="preserve"> from the other 2 sides. These percentages can be in any shape or form as long as they consist of similar triangles</w:t>
      </w:r>
    </w:p>
    <w:p w14:paraId="63E7938F" w14:textId="10C35297" w:rsidR="00547210" w:rsidRDefault="001F1B80" w:rsidP="00547210">
      <m:oMathPara>
        <m:oMath>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2</m:t>
                  </m:r>
                </m:sup>
              </m:sSup>
            </m:num>
            <m:den>
              <m:r>
                <w:rPr>
                  <w:rFonts w:ascii="Cambria Math" w:hAnsi="Cambria Math"/>
                </w:rPr>
                <m:t>%</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b</m:t>
                  </m:r>
                </m:e>
                <m:sup>
                  <m:r>
                    <w:rPr>
                      <w:rFonts w:ascii="Cambria Math" w:hAnsi="Cambria Math"/>
                    </w:rPr>
                    <m:t>2</m:t>
                  </m:r>
                </m:sup>
              </m:sSup>
            </m:num>
            <m:den>
              <m:r>
                <w:rPr>
                  <w:rFonts w:ascii="Cambria Math" w:hAnsi="Cambria Math"/>
                </w:rPr>
                <m:t>%</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m:t>
              </m:r>
            </m:den>
          </m:f>
        </m:oMath>
      </m:oMathPara>
    </w:p>
    <w:p w14:paraId="0B430E41" w14:textId="77777777" w:rsidR="00760DCC" w:rsidRPr="00ED1679" w:rsidRDefault="00760DCC"/>
    <w:p w14:paraId="27257670" w14:textId="58783BCE" w:rsidR="00A976A1" w:rsidRPr="00AC315A" w:rsidRDefault="00A976A1" w:rsidP="002426D8"/>
    <w:sectPr w:rsidR="00A976A1" w:rsidRPr="00AC315A" w:rsidSect="005F4D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90"/>
    <w:rsid w:val="00076C3E"/>
    <w:rsid w:val="00081C83"/>
    <w:rsid w:val="00172670"/>
    <w:rsid w:val="001C5F02"/>
    <w:rsid w:val="001F1B80"/>
    <w:rsid w:val="00215CC2"/>
    <w:rsid w:val="00216EC9"/>
    <w:rsid w:val="00233929"/>
    <w:rsid w:val="002426D8"/>
    <w:rsid w:val="002530E4"/>
    <w:rsid w:val="00254961"/>
    <w:rsid w:val="00341069"/>
    <w:rsid w:val="00341EAD"/>
    <w:rsid w:val="003426A5"/>
    <w:rsid w:val="00363753"/>
    <w:rsid w:val="00384069"/>
    <w:rsid w:val="00420F74"/>
    <w:rsid w:val="004A2D6F"/>
    <w:rsid w:val="004E6782"/>
    <w:rsid w:val="004F0EDC"/>
    <w:rsid w:val="005352EF"/>
    <w:rsid w:val="00536273"/>
    <w:rsid w:val="00542ACC"/>
    <w:rsid w:val="00547210"/>
    <w:rsid w:val="005610C0"/>
    <w:rsid w:val="00583C14"/>
    <w:rsid w:val="00594D81"/>
    <w:rsid w:val="005A1C91"/>
    <w:rsid w:val="005A6D5A"/>
    <w:rsid w:val="005D5100"/>
    <w:rsid w:val="005F4D49"/>
    <w:rsid w:val="00624786"/>
    <w:rsid w:val="00647D48"/>
    <w:rsid w:val="006D391E"/>
    <w:rsid w:val="006F0990"/>
    <w:rsid w:val="006F4085"/>
    <w:rsid w:val="0074497C"/>
    <w:rsid w:val="00760DCC"/>
    <w:rsid w:val="007655F3"/>
    <w:rsid w:val="007770A5"/>
    <w:rsid w:val="007A00B8"/>
    <w:rsid w:val="008142D9"/>
    <w:rsid w:val="008251E4"/>
    <w:rsid w:val="00841400"/>
    <w:rsid w:val="008470A7"/>
    <w:rsid w:val="00884BAA"/>
    <w:rsid w:val="00892478"/>
    <w:rsid w:val="008B178D"/>
    <w:rsid w:val="008F5149"/>
    <w:rsid w:val="009237F7"/>
    <w:rsid w:val="00944DA6"/>
    <w:rsid w:val="0098196B"/>
    <w:rsid w:val="00990590"/>
    <w:rsid w:val="009D13FC"/>
    <w:rsid w:val="00A05606"/>
    <w:rsid w:val="00A145FC"/>
    <w:rsid w:val="00A22895"/>
    <w:rsid w:val="00A76C46"/>
    <w:rsid w:val="00A976A1"/>
    <w:rsid w:val="00AC315A"/>
    <w:rsid w:val="00BD52CA"/>
    <w:rsid w:val="00C214CB"/>
    <w:rsid w:val="00C426E5"/>
    <w:rsid w:val="00C97CDD"/>
    <w:rsid w:val="00CE0337"/>
    <w:rsid w:val="00D2603C"/>
    <w:rsid w:val="00D6084E"/>
    <w:rsid w:val="00D7552A"/>
    <w:rsid w:val="00DA6485"/>
    <w:rsid w:val="00DB3D90"/>
    <w:rsid w:val="00DE1633"/>
    <w:rsid w:val="00E267F1"/>
    <w:rsid w:val="00E26A07"/>
    <w:rsid w:val="00E41295"/>
    <w:rsid w:val="00E54E60"/>
    <w:rsid w:val="00ED1679"/>
    <w:rsid w:val="00F15EFA"/>
    <w:rsid w:val="00F90C22"/>
    <w:rsid w:val="00FC6B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3A9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4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400"/>
    <w:rPr>
      <w:rFonts w:ascii="Lucida Grande" w:hAnsi="Lucida Grande" w:cs="Lucida Grande"/>
      <w:sz w:val="18"/>
      <w:szCs w:val="18"/>
    </w:rPr>
  </w:style>
  <w:style w:type="character" w:styleId="PlaceholderText">
    <w:name w:val="Placeholder Text"/>
    <w:basedOn w:val="DefaultParagraphFont"/>
    <w:uiPriority w:val="99"/>
    <w:semiHidden/>
    <w:rsid w:val="00DA6485"/>
    <w:rPr>
      <w:color w:val="808080"/>
    </w:rPr>
  </w:style>
  <w:style w:type="paragraph" w:styleId="Caption">
    <w:name w:val="caption"/>
    <w:basedOn w:val="Normal"/>
    <w:next w:val="Normal"/>
    <w:uiPriority w:val="35"/>
    <w:unhideWhenUsed/>
    <w:qFormat/>
    <w:rsid w:val="00420F74"/>
    <w:pPr>
      <w:spacing w:after="200"/>
    </w:pPr>
    <w:rPr>
      <w:b/>
      <w:bCs/>
      <w:color w:val="4F81BD" w:themeColor="accent1"/>
      <w:sz w:val="18"/>
      <w:szCs w:val="18"/>
    </w:rPr>
  </w:style>
  <w:style w:type="character" w:styleId="Hyperlink">
    <w:name w:val="Hyperlink"/>
    <w:basedOn w:val="DefaultParagraphFont"/>
    <w:uiPriority w:val="99"/>
    <w:unhideWhenUsed/>
    <w:rsid w:val="00ED167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4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400"/>
    <w:rPr>
      <w:rFonts w:ascii="Lucida Grande" w:hAnsi="Lucida Grande" w:cs="Lucida Grande"/>
      <w:sz w:val="18"/>
      <w:szCs w:val="18"/>
    </w:rPr>
  </w:style>
  <w:style w:type="character" w:styleId="PlaceholderText">
    <w:name w:val="Placeholder Text"/>
    <w:basedOn w:val="DefaultParagraphFont"/>
    <w:uiPriority w:val="99"/>
    <w:semiHidden/>
    <w:rsid w:val="00DA6485"/>
    <w:rPr>
      <w:color w:val="808080"/>
    </w:rPr>
  </w:style>
  <w:style w:type="paragraph" w:styleId="Caption">
    <w:name w:val="caption"/>
    <w:basedOn w:val="Normal"/>
    <w:next w:val="Normal"/>
    <w:uiPriority w:val="35"/>
    <w:unhideWhenUsed/>
    <w:qFormat/>
    <w:rsid w:val="00420F74"/>
    <w:pPr>
      <w:spacing w:after="200"/>
    </w:pPr>
    <w:rPr>
      <w:b/>
      <w:bCs/>
      <w:color w:val="4F81BD" w:themeColor="accent1"/>
      <w:sz w:val="18"/>
      <w:szCs w:val="18"/>
    </w:rPr>
  </w:style>
  <w:style w:type="character" w:styleId="Hyperlink">
    <w:name w:val="Hyperlink"/>
    <w:basedOn w:val="DefaultParagraphFont"/>
    <w:uiPriority w:val="99"/>
    <w:unhideWhenUsed/>
    <w:rsid w:val="00ED16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1F038-AC34-9D42-B8DE-A024B16D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Mandurah Catholic College</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3</cp:revision>
  <dcterms:created xsi:type="dcterms:W3CDTF">2015-06-09T01:07:00Z</dcterms:created>
  <dcterms:modified xsi:type="dcterms:W3CDTF">2015-06-09T01:09:00Z</dcterms:modified>
</cp:coreProperties>
</file>