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64" w:rsidRDefault="00767664" w:rsidP="00767664">
      <w:pPr>
        <w:jc w:val="both"/>
        <w:rPr>
          <w:sz w:val="32"/>
        </w:rPr>
      </w:pPr>
      <w:r w:rsidRPr="00767664">
        <w:rPr>
          <w:sz w:val="32"/>
        </w:rPr>
        <w:t xml:space="preserve">The first thing to note is that the graph is of an odd function – it </w:t>
      </w:r>
      <w:r>
        <w:rPr>
          <w:sz w:val="32"/>
        </w:rPr>
        <w:t>has rotational symmetry order two about the origin. This allows us to assume symmetry when considering roots and vertical asymptotes.</w:t>
      </w:r>
    </w:p>
    <w:p w:rsidR="00767664" w:rsidRDefault="003D5152" w:rsidP="00767664">
      <w:pPr>
        <w:jc w:val="both"/>
        <w:rPr>
          <w:sz w:val="32"/>
        </w:rPr>
      </w:pPr>
      <w:r>
        <w:rPr>
          <w:sz w:val="32"/>
        </w:rPr>
        <w:t>We can see that there are three roots. One</w:t>
      </w:r>
      <w:r w:rsidR="00767664">
        <w:rPr>
          <w:sz w:val="32"/>
        </w:rPr>
        <w:t xml:space="preserve"> is at </w:t>
      </w:r>
      <m:oMath>
        <m:r>
          <w:rPr>
            <w:rFonts w:ascii="Cambria Math" w:hAnsi="Cambria Math"/>
            <w:sz w:val="32"/>
          </w:rPr>
          <m:t>x=0</m:t>
        </m:r>
      </m:oMath>
      <w:r w:rsidR="00767664">
        <w:rPr>
          <w:sz w:val="32"/>
        </w:rPr>
        <w:t xml:space="preserve">, and the two others occur at </w:t>
      </w:r>
      <m:oMath>
        <m:r>
          <w:rPr>
            <w:rFonts w:ascii="Cambria Math" w:hAnsi="Cambria Math"/>
            <w:sz w:val="32"/>
          </w:rPr>
          <m:t>x=±a</m:t>
        </m:r>
      </m:oMath>
      <w:r w:rsidR="00767664">
        <w:rPr>
          <w:sz w:val="32"/>
        </w:rPr>
        <w:t xml:space="preserve">, where </w:t>
      </w:r>
      <m:oMath>
        <m:r>
          <w:rPr>
            <w:rFonts w:ascii="Cambria Math" w:hAnsi="Cambria Math"/>
            <w:sz w:val="32"/>
          </w:rPr>
          <m:t>a</m:t>
        </m:r>
      </m:oMath>
      <w:r w:rsidR="00767664">
        <w:rPr>
          <w:sz w:val="32"/>
        </w:rPr>
        <w:t xml:space="preserve"> is </w:t>
      </w:r>
      <w:r>
        <w:rPr>
          <w:sz w:val="32"/>
        </w:rPr>
        <w:t>a</w:t>
      </w:r>
      <w:r w:rsidR="00767664">
        <w:rPr>
          <w:sz w:val="32"/>
        </w:rPr>
        <w:t xml:space="preserve"> positive real number. This information tells us about the numerator of a potential function, since roots will occur when the numerator is equal to zero. For the root at </w:t>
      </w:r>
      <m:oMath>
        <m:r>
          <w:rPr>
            <w:rFonts w:ascii="Cambria Math" w:hAnsi="Cambria Math"/>
            <w:sz w:val="32"/>
          </w:rPr>
          <m:t>x=0</m:t>
        </m:r>
      </m:oMath>
      <w:r w:rsidR="00767664">
        <w:rPr>
          <w:sz w:val="32"/>
        </w:rPr>
        <w:t xml:space="preserve">, a factor of </w:t>
      </w:r>
      <m:oMath>
        <m:r>
          <w:rPr>
            <w:rFonts w:ascii="Cambria Math" w:hAnsi="Cambria Math"/>
            <w:sz w:val="32"/>
          </w:rPr>
          <m:t>x</m:t>
        </m:r>
      </m:oMath>
      <w:r w:rsidR="00767664">
        <w:rPr>
          <w:sz w:val="32"/>
        </w:rPr>
        <w:t xml:space="preserve"> in the numerator will suffice. For </w:t>
      </w:r>
      <m:oMath>
        <m:r>
          <w:rPr>
            <w:rFonts w:ascii="Cambria Math" w:hAnsi="Cambria Math"/>
            <w:sz w:val="32"/>
          </w:rPr>
          <m:t>x=a</m:t>
        </m:r>
      </m:oMath>
      <w:r w:rsidR="00767664">
        <w:rPr>
          <w:sz w:val="32"/>
        </w:rPr>
        <w:t xml:space="preserve"> and </w:t>
      </w:r>
      <m:oMath>
        <m:r>
          <w:rPr>
            <w:rFonts w:ascii="Cambria Math" w:hAnsi="Cambria Math"/>
            <w:sz w:val="32"/>
          </w:rPr>
          <m:t>x=-a</m:t>
        </m:r>
      </m:oMath>
      <w:r w:rsidR="00767664">
        <w:rPr>
          <w:sz w:val="32"/>
        </w:rPr>
        <w:t xml:space="preserve">, factors of </w:t>
      </w:r>
      <m:oMath>
        <m:r>
          <w:rPr>
            <w:rFonts w:ascii="Cambria Math" w:hAnsi="Cambria Math"/>
            <w:sz w:val="32"/>
          </w:rPr>
          <m:t>(x-a)</m:t>
        </m:r>
      </m:oMath>
      <w:r w:rsidR="00767664">
        <w:rPr>
          <w:sz w:val="32"/>
        </w:rPr>
        <w:t xml:space="preserve"> and </w:t>
      </w:r>
      <m:oMath>
        <m:r>
          <w:rPr>
            <w:rFonts w:ascii="Cambria Math" w:hAnsi="Cambria Math"/>
            <w:sz w:val="32"/>
          </w:rPr>
          <m:t>(x+a)</m:t>
        </m:r>
      </m:oMath>
      <w:r w:rsidR="00767664">
        <w:rPr>
          <w:sz w:val="32"/>
        </w:rPr>
        <w:t xml:space="preserve"> respectively will give roots at the correct </w:t>
      </w:r>
      <m:oMath>
        <m:r>
          <w:rPr>
            <w:rFonts w:ascii="Cambria Math" w:hAnsi="Cambria Math"/>
            <w:sz w:val="32"/>
          </w:rPr>
          <m:t>x</m:t>
        </m:r>
      </m:oMath>
      <w:r w:rsidR="00767664">
        <w:rPr>
          <w:sz w:val="32"/>
        </w:rPr>
        <w:t>-values. In order to make the solution as general as possible, a multiplier should also be included in the numerator in order to encompass a wider family of possible functions without affecting the validity of the roots themselves.</w:t>
      </w:r>
    </w:p>
    <w:p w:rsidR="00767664" w:rsidRDefault="00767664" w:rsidP="00767664">
      <w:pPr>
        <w:jc w:val="both"/>
        <w:rPr>
          <w:sz w:val="32"/>
        </w:rPr>
      </w:pPr>
      <w:r>
        <w:rPr>
          <w:sz w:val="32"/>
        </w:rPr>
        <w:t xml:space="preserve">Due to the rotational symmetry, we can say that the </w:t>
      </w:r>
      <m:oMath>
        <m:r>
          <w:rPr>
            <w:rFonts w:ascii="Cambria Math" w:hAnsi="Cambria Math"/>
            <w:sz w:val="32"/>
          </w:rPr>
          <m:t>x</m:t>
        </m:r>
      </m:oMath>
      <w:r>
        <w:rPr>
          <w:sz w:val="32"/>
        </w:rPr>
        <w:t xml:space="preserve">-values of the two vertical asymptotes are equal in magnitude in a similar way to the non-zero roots. We can say that they occur at </w:t>
      </w:r>
      <m:oMath>
        <m:r>
          <w:rPr>
            <w:rFonts w:ascii="Cambria Math" w:hAnsi="Cambria Math"/>
            <w:sz w:val="32"/>
          </w:rPr>
          <m:t>x=±b</m:t>
        </m:r>
      </m:oMath>
      <w:r>
        <w:rPr>
          <w:sz w:val="32"/>
        </w:rPr>
        <w:t xml:space="preserve">, where </w:t>
      </w:r>
      <m:oMath>
        <m:r>
          <w:rPr>
            <w:rFonts w:ascii="Cambria Math" w:hAnsi="Cambria Math"/>
            <w:sz w:val="32"/>
          </w:rPr>
          <m:t>b</m:t>
        </m:r>
      </m:oMath>
      <w:r>
        <w:rPr>
          <w:sz w:val="32"/>
        </w:rPr>
        <w:t xml:space="preserve"> is again some positive real number, which should be slightly smaller than </w:t>
      </w:r>
      <m:oMath>
        <m:r>
          <w:rPr>
            <w:rFonts w:ascii="Cambria Math" w:hAnsi="Cambria Math"/>
            <w:sz w:val="32"/>
          </w:rPr>
          <m:t>a</m:t>
        </m:r>
      </m:oMath>
      <w:r>
        <w:rPr>
          <w:sz w:val="32"/>
        </w:rPr>
        <w:t xml:space="preserve">, according to the graph. Vertical asymptotes occur when the denominator of a function is equal to zero. This can be achieved in this case by putting the factors </w:t>
      </w:r>
      <m:oMath>
        <m:r>
          <w:rPr>
            <w:rFonts w:ascii="Cambria Math" w:hAnsi="Cambria Math"/>
            <w:sz w:val="32"/>
          </w:rPr>
          <m:t>(x-b)</m:t>
        </m:r>
      </m:oMath>
      <w:r>
        <w:rPr>
          <w:sz w:val="32"/>
        </w:rPr>
        <w:t xml:space="preserve"> and </w:t>
      </w:r>
      <m:oMath>
        <m:r>
          <w:rPr>
            <w:rFonts w:ascii="Cambria Math" w:hAnsi="Cambria Math"/>
            <w:sz w:val="32"/>
          </w:rPr>
          <m:t>(x+b)</m:t>
        </m:r>
      </m:oMath>
      <w:r>
        <w:rPr>
          <w:sz w:val="32"/>
        </w:rPr>
        <w:t xml:space="preserve"> in the denominator of a potential function.</w:t>
      </w:r>
    </w:p>
    <w:p w:rsidR="00767664" w:rsidRDefault="00767664" w:rsidP="00767664">
      <w:pPr>
        <w:jc w:val="both"/>
        <w:rPr>
          <w:sz w:val="32"/>
        </w:rPr>
      </w:pPr>
      <w:r>
        <w:rPr>
          <w:sz w:val="32"/>
        </w:rPr>
        <w:t>So far, then, we have</w:t>
      </w:r>
    </w:p>
    <w:p w:rsidR="00767664" w:rsidRPr="00767664" w:rsidRDefault="00767664" w:rsidP="00767664">
      <w:pPr>
        <w:jc w:val="both"/>
        <w:rPr>
          <w:sz w:val="32"/>
        </w:rPr>
      </w:pPr>
      <m:oMathPara>
        <m:oMath>
          <m:r>
            <w:rPr>
              <w:rFonts w:ascii="Cambria Math" w:hAnsi="Cambria Math"/>
              <w:sz w:val="32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32"/>
                </w:rPr>
              </m:ctrlPr>
            </m:fPr>
            <m:num>
              <m:r>
                <w:rPr>
                  <w:rFonts w:ascii="Cambria Math" w:hAnsi="Cambria Math"/>
                  <w:sz w:val="32"/>
                </w:rPr>
                <m:t>cx(x-a)(x+a)</m:t>
              </m:r>
            </m:num>
            <m:den>
              <m:r>
                <w:rPr>
                  <w:rFonts w:ascii="Cambria Math" w:hAnsi="Cambria Math"/>
                  <w:sz w:val="32"/>
                </w:rPr>
                <m:t>(x-b)(x+b)</m:t>
              </m:r>
            </m:den>
          </m:f>
          <m:r>
            <w:rPr>
              <w:rFonts w:ascii="Cambria Math" w:hAnsi="Cambria Math"/>
              <w:sz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</w:rPr>
              </m:ctrlPr>
            </m:fPr>
            <m:num>
              <m:r>
                <w:rPr>
                  <w:rFonts w:ascii="Cambria Math" w:hAnsi="Cambria Math"/>
                  <w:sz w:val="32"/>
                </w:rPr>
                <m:t>cx(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p>
              </m:sSup>
            </m:den>
          </m:f>
        </m:oMath>
      </m:oMathPara>
    </w:p>
    <w:p w:rsidR="00767664" w:rsidRDefault="00767664" w:rsidP="00767664">
      <w:pPr>
        <w:jc w:val="both"/>
        <w:rPr>
          <w:sz w:val="32"/>
        </w:rPr>
      </w:pPr>
      <w:r>
        <w:rPr>
          <w:sz w:val="32"/>
        </w:rPr>
        <w:t xml:space="preserve">The final property of the graph that is yet to be examined is its linear asymptote that is neither vertical nor horizontal. We can say that is of the form </w:t>
      </w:r>
      <m:oMath>
        <m:r>
          <w:rPr>
            <w:rFonts w:ascii="Cambria Math" w:hAnsi="Cambria Math"/>
            <w:sz w:val="32"/>
          </w:rPr>
          <m:t>y=kx</m:t>
        </m:r>
      </m:oMath>
      <w:r>
        <w:rPr>
          <w:sz w:val="32"/>
        </w:rPr>
        <w:t xml:space="preserve">. Let’s look back at the function in progress. As </w:t>
      </w:r>
      <m:oMath>
        <m:r>
          <w:rPr>
            <w:rFonts w:ascii="Cambria Math" w:hAnsi="Cambria Math"/>
            <w:sz w:val="32"/>
          </w:rPr>
          <m:t>x→∞</m:t>
        </m:r>
      </m:oMath>
      <w:r>
        <w:rPr>
          <w:sz w:val="32"/>
        </w:rPr>
        <w:t>, the constant terms become insignificant, so</w:t>
      </w:r>
    </w:p>
    <w:p w:rsidR="00767664" w:rsidRPr="00767664" w:rsidRDefault="00767664" w:rsidP="00767664">
      <w:pPr>
        <w:jc w:val="both"/>
        <w:rPr>
          <w:sz w:val="32"/>
        </w:rPr>
      </w:pPr>
      <m:oMathPara>
        <m:oMath>
          <m:r>
            <w:rPr>
              <w:rFonts w:ascii="Cambria Math" w:hAnsi="Cambria Math"/>
              <w:sz w:val="32"/>
            </w:rPr>
            <m:t>y≈</m:t>
          </m:r>
          <m:f>
            <m:fPr>
              <m:ctrlPr>
                <w:rPr>
                  <w:rFonts w:ascii="Cambria Math" w:hAnsi="Cambria Math"/>
                  <w:i/>
                  <w:sz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cx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2"/>
            </w:rPr>
            <m:t>≈cx</m:t>
          </m:r>
        </m:oMath>
      </m:oMathPara>
    </w:p>
    <w:p w:rsidR="00767664" w:rsidRDefault="00767664" w:rsidP="00767664">
      <w:pPr>
        <w:jc w:val="both"/>
        <w:rPr>
          <w:sz w:val="32"/>
        </w:rPr>
      </w:pPr>
      <w:r>
        <w:rPr>
          <w:sz w:val="32"/>
        </w:rPr>
        <w:t xml:space="preserve">In other words, the asymptote obeys the relationship </w:t>
      </w:r>
      <m:oMath>
        <m:r>
          <w:rPr>
            <w:rFonts w:ascii="Cambria Math" w:hAnsi="Cambria Math"/>
            <w:sz w:val="32"/>
          </w:rPr>
          <m:t>y=kx</m:t>
        </m:r>
      </m:oMath>
      <w:r>
        <w:rPr>
          <w:sz w:val="32"/>
        </w:rPr>
        <w:t xml:space="preserve"> where </w:t>
      </w:r>
      <m:oMath>
        <m:r>
          <w:rPr>
            <w:rFonts w:ascii="Cambria Math" w:hAnsi="Cambria Math"/>
            <w:sz w:val="32"/>
          </w:rPr>
          <m:t>k=c</m:t>
        </m:r>
      </m:oMath>
      <w:r>
        <w:rPr>
          <w:sz w:val="32"/>
        </w:rPr>
        <w:t>.</w:t>
      </w:r>
    </w:p>
    <w:p w:rsidR="00767664" w:rsidRDefault="00767664" w:rsidP="00767664">
      <w:pPr>
        <w:jc w:val="both"/>
        <w:rPr>
          <w:sz w:val="32"/>
        </w:rPr>
      </w:pPr>
      <w:r>
        <w:rPr>
          <w:sz w:val="32"/>
        </w:rPr>
        <w:t>So, the equation of the graph will be of the form</w:t>
      </w:r>
    </w:p>
    <w:p w:rsidR="00767664" w:rsidRPr="00767664" w:rsidRDefault="00767664" w:rsidP="00767664">
      <w:pPr>
        <w:jc w:val="both"/>
        <w:rPr>
          <w:sz w:val="32"/>
        </w:rPr>
      </w:pPr>
      <m:oMathPara>
        <m:oMath>
          <m:r>
            <w:rPr>
              <w:rFonts w:ascii="Cambria Math" w:hAnsi="Cambria Math"/>
              <w:sz w:val="32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32"/>
                </w:rPr>
              </m:ctrlPr>
            </m:fPr>
            <m:num>
              <m:r>
                <w:rPr>
                  <w:rFonts w:ascii="Cambria Math" w:hAnsi="Cambria Math"/>
                  <w:sz w:val="32"/>
                </w:rPr>
                <m:t>cx(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p>
              </m:sSup>
            </m:den>
          </m:f>
        </m:oMath>
      </m:oMathPara>
    </w:p>
    <w:p w:rsidR="00767664" w:rsidRDefault="00767664" w:rsidP="00767664">
      <w:pPr>
        <w:jc w:val="both"/>
        <w:rPr>
          <w:sz w:val="32"/>
        </w:rPr>
      </w:pPr>
      <w:r>
        <w:rPr>
          <w:sz w:val="32"/>
        </w:rPr>
        <w:lastRenderedPageBreak/>
        <w:t xml:space="preserve">Where </w:t>
      </w:r>
      <m:oMath>
        <m:r>
          <w:rPr>
            <w:rFonts w:ascii="Cambria Math" w:hAnsi="Cambria Math"/>
            <w:sz w:val="32"/>
          </w:rPr>
          <m:t>a,</m:t>
        </m:r>
      </m:oMath>
      <w:r>
        <w:rPr>
          <w:sz w:val="32"/>
        </w:rPr>
        <w:t xml:space="preserve"> </w:t>
      </w:r>
      <m:oMath>
        <m:r>
          <w:rPr>
            <w:rFonts w:ascii="Cambria Math" w:hAnsi="Cambria Math"/>
            <w:sz w:val="32"/>
          </w:rPr>
          <m:t>b</m:t>
        </m:r>
      </m:oMath>
      <w:r>
        <w:rPr>
          <w:sz w:val="32"/>
        </w:rPr>
        <w:t xml:space="preserve"> and </w:t>
      </w:r>
      <m:oMath>
        <m:r>
          <w:rPr>
            <w:rFonts w:ascii="Cambria Math" w:hAnsi="Cambria Math"/>
            <w:sz w:val="32"/>
          </w:rPr>
          <m:t>c</m:t>
        </m:r>
      </m:oMath>
      <w:r>
        <w:rPr>
          <w:sz w:val="32"/>
        </w:rPr>
        <w:t xml:space="preserve"> are positive real constants and </w:t>
      </w:r>
      <m:oMath>
        <m:r>
          <w:rPr>
            <w:rFonts w:ascii="Cambria Math" w:hAnsi="Cambria Math"/>
            <w:sz w:val="32"/>
          </w:rPr>
          <m:t>a&gt;b</m:t>
        </m:r>
      </m:oMath>
      <w:r>
        <w:rPr>
          <w:sz w:val="32"/>
        </w:rPr>
        <w:t>.</w:t>
      </w:r>
    </w:p>
    <w:p w:rsidR="004D5B92" w:rsidRDefault="004D5B92" w:rsidP="00767664">
      <w:pPr>
        <w:jc w:val="both"/>
        <w:rPr>
          <w:sz w:val="32"/>
        </w:rPr>
      </w:pPr>
      <w:r>
        <w:rPr>
          <w:noProof/>
        </w:rPr>
        <w:drawing>
          <wp:inline distT="0" distB="0" distL="0" distR="0" wp14:anchorId="3B5F7BBC" wp14:editId="613A5605">
            <wp:extent cx="3057525" cy="2276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377" t="20975" r="25616" b="14755"/>
                    <a:stretch/>
                  </pic:blipFill>
                  <pic:spPr bwMode="auto">
                    <a:xfrm>
                      <a:off x="0" y="0"/>
                      <a:ext cx="305752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B92" w:rsidRDefault="004D5B92" w:rsidP="00767664">
      <w:pPr>
        <w:jc w:val="both"/>
        <w:rPr>
          <w:sz w:val="32"/>
        </w:rPr>
      </w:pPr>
      <w:r>
        <w:rPr>
          <w:sz w:val="32"/>
        </w:rPr>
        <w:t xml:space="preserve">The above graph is an example for </w:t>
      </w:r>
      <m:oMath>
        <m:r>
          <w:rPr>
            <w:rFonts w:ascii="Cambria Math" w:hAnsi="Cambria Math"/>
            <w:sz w:val="32"/>
          </w:rPr>
          <m:t>a=1.08</m:t>
        </m:r>
      </m:oMath>
      <w:r>
        <w:rPr>
          <w:sz w:val="32"/>
        </w:rPr>
        <w:t xml:space="preserve">, </w:t>
      </w:r>
      <m:oMath>
        <m:r>
          <w:rPr>
            <w:rFonts w:ascii="Cambria Math" w:hAnsi="Cambria Math"/>
            <w:sz w:val="32"/>
          </w:rPr>
          <m:t>b=c=1</m:t>
        </m:r>
      </m:oMath>
      <w:r>
        <w:rPr>
          <w:sz w:val="32"/>
        </w:rPr>
        <w:t>.</w:t>
      </w:r>
    </w:p>
    <w:p w:rsidR="00767664" w:rsidRPr="004D5B92" w:rsidRDefault="00767664" w:rsidP="00767664">
      <w:pPr>
        <w:jc w:val="both"/>
        <w:rPr>
          <w:sz w:val="32"/>
          <w:u w:val="single"/>
        </w:rPr>
      </w:pPr>
      <w:r w:rsidRPr="004D5B92">
        <w:rPr>
          <w:sz w:val="32"/>
          <w:u w:val="single"/>
        </w:rPr>
        <w:t>Other Observations</w:t>
      </w:r>
    </w:p>
    <w:p w:rsidR="00767664" w:rsidRDefault="00767664" w:rsidP="00767664">
      <w:pPr>
        <w:jc w:val="both"/>
        <w:rPr>
          <w:sz w:val="32"/>
        </w:rPr>
      </w:pPr>
      <w:r>
        <w:rPr>
          <w:sz w:val="32"/>
        </w:rPr>
        <w:t xml:space="preserve">The middle section of the graph bears some resemblance to trigonometric and hyperbolic functions such as </w:t>
      </w:r>
      <m:oMath>
        <m:r>
          <w:rPr>
            <w:rFonts w:ascii="Cambria Math" w:hAnsi="Cambria Math"/>
            <w:sz w:val="32"/>
          </w:rPr>
          <m:t>y=</m:t>
        </m:r>
        <m:r>
          <w:rPr>
            <w:rFonts w:ascii="Cambria Math" w:hAnsi="Cambria Math"/>
            <w:sz w:val="32"/>
          </w:rPr>
          <m:t>tan</m:t>
        </m:r>
        <m:r>
          <w:rPr>
            <w:rFonts w:ascii="Cambria Math" w:hAnsi="Cambria Math"/>
            <w:sz w:val="32"/>
          </w:rPr>
          <m:t>(x)</m:t>
        </m:r>
      </m:oMath>
      <w:r w:rsidR="004D5B92">
        <w:rPr>
          <w:sz w:val="32"/>
        </w:rPr>
        <w:t xml:space="preserve"> and </w:t>
      </w:r>
      <m:oMath>
        <m:r>
          <w:rPr>
            <w:rFonts w:ascii="Cambria Math" w:hAnsi="Cambria Math"/>
            <w:sz w:val="32"/>
          </w:rPr>
          <m:t>y=artanh(x)</m:t>
        </m:r>
      </m:oMath>
      <w:r w:rsidR="004D5B92">
        <w:rPr>
          <w:sz w:val="32"/>
        </w:rPr>
        <w:t xml:space="preserve">. There are obvious problems with each of these. The latter’s domain is </w:t>
      </w:r>
      <m:oMath>
        <m:r>
          <w:rPr>
            <w:rFonts w:ascii="Cambria Math" w:hAnsi="Cambria Math"/>
            <w:sz w:val="32"/>
          </w:rPr>
          <m:t>-1&lt;x&lt;1</m:t>
        </m:r>
      </m:oMath>
      <w:r w:rsidR="004D5B92">
        <w:rPr>
          <w:sz w:val="32"/>
        </w:rPr>
        <w:t xml:space="preserve">, which would make it very difficult to produce a function defined over all real </w:t>
      </w:r>
      <m:oMath>
        <m:r>
          <w:rPr>
            <w:rFonts w:ascii="Cambria Math" w:hAnsi="Cambria Math"/>
            <w:sz w:val="32"/>
          </w:rPr>
          <m:t>x</m:t>
        </m:r>
      </m:oMath>
      <w:r w:rsidR="004D5B92">
        <w:rPr>
          <w:sz w:val="32"/>
        </w:rPr>
        <w:t xml:space="preserve">, which we see in the graph (vertical asymptotes aside). This could be achieved by taking the inverse hyperbolic tangent of a function which have ranges limited to </w:t>
      </w:r>
      <m:oMath>
        <m:r>
          <w:rPr>
            <w:rFonts w:ascii="Cambria Math" w:hAnsi="Cambria Math"/>
            <w:sz w:val="32"/>
          </w:rPr>
          <m:t>-1≤f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x</m:t>
            </m:r>
          </m:e>
        </m:d>
        <m:r>
          <w:rPr>
            <w:rFonts w:ascii="Cambria Math" w:hAnsi="Cambria Math"/>
            <w:sz w:val="32"/>
          </w:rPr>
          <m:t>≤1</m:t>
        </m:r>
      </m:oMath>
      <w:r w:rsidR="004D5B92">
        <w:rPr>
          <w:sz w:val="32"/>
        </w:rPr>
        <w:t xml:space="preserve"> – sine and cosine spring immediately to mind. Nonetheless, this presents a new problem, periodicity, which we also encounter with the tangent function mentioned above. In this case, progress could be made by limiting the domain. Variations on </w:t>
      </w:r>
      <m:oMath>
        <m:r>
          <w:rPr>
            <w:rFonts w:ascii="Cambria Math" w:hAnsi="Cambria Math"/>
            <w:sz w:val="32"/>
          </w:rPr>
          <m:t>y=x+</m:t>
        </m:r>
        <m:r>
          <w:rPr>
            <w:rFonts w:ascii="Cambria Math" w:hAnsi="Cambria Math"/>
            <w:sz w:val="32"/>
          </w:rPr>
          <m:t>tan</m:t>
        </m:r>
        <m:r>
          <w:rPr>
            <w:rFonts w:ascii="Cambria Math" w:hAnsi="Cambria Math"/>
            <w:sz w:val="32"/>
          </w:rPr>
          <m:t>(x)</m:t>
        </m:r>
      </m:oMath>
      <w:r w:rsidR="004D5B92">
        <w:rPr>
          <w:sz w:val="32"/>
        </w:rPr>
        <w:t xml:space="preserve"> are particularly effective. Below is an example of such a function, </w:t>
      </w:r>
      <m:oMath>
        <m:r>
          <w:rPr>
            <w:rFonts w:ascii="Cambria Math" w:hAnsi="Cambria Math"/>
            <w:sz w:val="32"/>
          </w:rPr>
          <m:t>y=2x+</m:t>
        </m:r>
        <m:r>
          <w:rPr>
            <w:rFonts w:ascii="Cambria Math" w:hAnsi="Cambria Math"/>
            <w:sz w:val="32"/>
          </w:rPr>
          <m:t>tan</m:t>
        </m:r>
        <m:d>
          <m:dPr>
            <m:ctrlPr>
              <w:rPr>
                <w:rFonts w:ascii="Cambria Math" w:hAnsi="Cambria Math"/>
                <w:sz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32"/>
                  </w:rPr>
                  <m:t>2</m:t>
                </m:r>
              </m:den>
            </m:f>
          </m:e>
        </m:d>
      </m:oMath>
      <w:r w:rsidR="004D5B92">
        <w:rPr>
          <w:sz w:val="32"/>
        </w:rPr>
        <w:t>:</w:t>
      </w:r>
    </w:p>
    <w:p w:rsidR="004D5B92" w:rsidRDefault="004D5B92" w:rsidP="00767664">
      <w:pPr>
        <w:jc w:val="both"/>
        <w:rPr>
          <w:sz w:val="32"/>
        </w:rPr>
      </w:pPr>
      <w:r>
        <w:rPr>
          <w:noProof/>
        </w:rPr>
        <w:drawing>
          <wp:inline distT="0" distB="0" distL="0" distR="0" wp14:anchorId="4EFD038B" wp14:editId="5D965B55">
            <wp:extent cx="3286125" cy="2162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658" t="22589" r="23897" b="16368"/>
                    <a:stretch/>
                  </pic:blipFill>
                  <pic:spPr bwMode="auto">
                    <a:xfrm>
                      <a:off x="0" y="0"/>
                      <a:ext cx="3286125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B92" w:rsidRPr="00767664" w:rsidRDefault="004D5B92" w:rsidP="00767664">
      <w:pPr>
        <w:jc w:val="both"/>
        <w:rPr>
          <w:sz w:val="32"/>
        </w:rPr>
      </w:pPr>
      <w:r>
        <w:rPr>
          <w:sz w:val="32"/>
        </w:rPr>
        <w:t xml:space="preserve">Although </w:t>
      </w:r>
      <w:r w:rsidR="00714D14">
        <w:rPr>
          <w:sz w:val="32"/>
        </w:rPr>
        <w:t xml:space="preserve">various aspects </w:t>
      </w:r>
      <w:r w:rsidR="00F94226">
        <w:rPr>
          <w:sz w:val="32"/>
        </w:rPr>
        <w:t xml:space="preserve">of this idea </w:t>
      </w:r>
      <w:bookmarkStart w:id="0" w:name="_GoBack"/>
      <w:bookmarkEnd w:id="0"/>
      <w:r w:rsidR="00714D14">
        <w:rPr>
          <w:sz w:val="32"/>
        </w:rPr>
        <w:t>are</w:t>
      </w:r>
      <w:r>
        <w:rPr>
          <w:sz w:val="32"/>
        </w:rPr>
        <w:t xml:space="preserve"> clearly problematic, it is interesting nonetheless that a shape so similar to the one sought after can be achieved through an entirely different approach.</w:t>
      </w:r>
    </w:p>
    <w:sectPr w:rsidR="004D5B92" w:rsidRPr="00767664" w:rsidSect="00767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64"/>
    <w:rsid w:val="00221471"/>
    <w:rsid w:val="003D5152"/>
    <w:rsid w:val="004D5B92"/>
    <w:rsid w:val="00714D14"/>
    <w:rsid w:val="00754D40"/>
    <w:rsid w:val="00767664"/>
    <w:rsid w:val="007B707D"/>
    <w:rsid w:val="00D24C37"/>
    <w:rsid w:val="00F9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F89AE-01EB-48FF-B6CB-E844F2E0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Flynn</dc:creator>
  <cp:keywords/>
  <dc:description/>
  <cp:lastModifiedBy>Emily Flynn</cp:lastModifiedBy>
  <cp:revision>4</cp:revision>
  <dcterms:created xsi:type="dcterms:W3CDTF">2015-03-17T21:13:00Z</dcterms:created>
  <dcterms:modified xsi:type="dcterms:W3CDTF">2015-03-17T22:42:00Z</dcterms:modified>
</cp:coreProperties>
</file>