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8F" w:rsidRPr="00EE398F" w:rsidRDefault="00A2732C" w:rsidP="00A273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Quadrilaterals in a Square: Stage 4</w:t>
      </w:r>
      <w:r w:rsidR="00863EAC">
        <w:rPr>
          <w:rFonts w:ascii="Times New Roman" w:hAnsi="Times New Roman" w:cs="Times New Roman"/>
          <w:sz w:val="24"/>
          <w:szCs w:val="24"/>
        </w:rPr>
        <w:t xml:space="preserve"> </w:t>
      </w:r>
      <w:r w:rsidR="001416A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508A">
        <w:rPr>
          <w:rFonts w:ascii="Times New Roman" w:hAnsi="Times New Roman" w:cs="Times New Roman"/>
          <w:sz w:val="24"/>
          <w:szCs w:val="24"/>
        </w:rPr>
        <w:t xml:space="preserve"> </w:t>
      </w:r>
      <w:r w:rsidR="00EE398F" w:rsidRPr="00EE398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E398F" w:rsidRPr="00EE398F">
        <w:rPr>
          <w:rFonts w:ascii="Times New Roman" w:hAnsi="Times New Roman" w:cs="Times New Roman"/>
          <w:sz w:val="24"/>
          <w:szCs w:val="24"/>
        </w:rPr>
        <w:t>Zach Thompson</w:t>
      </w:r>
    </w:p>
    <w:p w:rsidR="00EE398F" w:rsidRDefault="00EE398F" w:rsidP="00292C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3A9" w:rsidRDefault="00C563A9" w:rsidP="008E2B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easiest way to solve the first puzzle is to simply join the opposing vertices of the red quad</w:t>
      </w:r>
      <w:r w:rsidR="006C4ABF">
        <w:rPr>
          <w:rFonts w:ascii="Times New Roman" w:hAnsi="Times New Roman" w:cs="Times New Roman"/>
          <w:sz w:val="24"/>
          <w:szCs w:val="24"/>
        </w:rPr>
        <w:t xml:space="preserve">rilateral. Where the lines cross, they form </w:t>
      </w:r>
      <w:r>
        <w:rPr>
          <w:rFonts w:ascii="Times New Roman" w:hAnsi="Times New Roman" w:cs="Times New Roman"/>
          <w:sz w:val="24"/>
          <w:szCs w:val="24"/>
        </w:rPr>
        <w:t>right angles and visually chop up</w:t>
      </w:r>
      <w:r w:rsidR="006C4ABF">
        <w:rPr>
          <w:rFonts w:ascii="Times New Roman" w:hAnsi="Times New Roman" w:cs="Times New Roman"/>
          <w:sz w:val="24"/>
          <w:szCs w:val="24"/>
        </w:rPr>
        <w:t xml:space="preserve"> the yellow square into 4 pieces with (clockwise) area of: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, ab,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 ab.</m:t>
        </m:r>
      </m:oMath>
    </w:p>
    <w:p w:rsidR="00C563A9" w:rsidRDefault="00C563A9" w:rsidP="008E2B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34"/>
        <w:gridCol w:w="2552"/>
      </w:tblGrid>
      <w:tr w:rsidR="00C563A9" w:rsidTr="00C563A9">
        <w:trPr>
          <w:trHeight w:val="1134"/>
        </w:trPr>
        <w:tc>
          <w:tcPr>
            <w:tcW w:w="1134" w:type="dxa"/>
          </w:tcPr>
          <w:p w:rsidR="00C563A9" w:rsidRDefault="00177DC9" w:rsidP="008E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0.25pt;margin-top:1.15pt;width:127.5pt;height:56.25pt;flip:x y;z-index:251659264" o:connectortype="straight"/>
              </w:pict>
            </w:r>
          </w:p>
        </w:tc>
        <w:tc>
          <w:tcPr>
            <w:tcW w:w="2552" w:type="dxa"/>
          </w:tcPr>
          <w:p w:rsidR="00C563A9" w:rsidRDefault="00C563A9" w:rsidP="008E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3A9" w:rsidTr="00C563A9">
        <w:trPr>
          <w:trHeight w:val="2552"/>
        </w:trPr>
        <w:tc>
          <w:tcPr>
            <w:tcW w:w="1134" w:type="dxa"/>
          </w:tcPr>
          <w:p w:rsidR="00C563A9" w:rsidRDefault="00177DC9" w:rsidP="008E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29" type="#_x0000_t32" style="position:absolute;left:0;text-align:left;margin-left:-5.25pt;margin-top:.2pt;width:55.5pt;height:127.5pt;flip:x y;z-index:25166131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28" type="#_x0000_t32" style="position:absolute;left:0;text-align:left;margin-left:50.25pt;margin-top:.2pt;width:127.5pt;height:127.5pt;flip:y;z-index:251660288;mso-position-horizontal-relative:text;mso-position-vertical-relative:text" o:connectortype="straight"/>
              </w:pict>
            </w:r>
          </w:p>
        </w:tc>
        <w:tc>
          <w:tcPr>
            <w:tcW w:w="2552" w:type="dxa"/>
          </w:tcPr>
          <w:p w:rsidR="00C563A9" w:rsidRDefault="00177DC9" w:rsidP="008E2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26" type="#_x0000_t32" style="position:absolute;left:0;text-align:left;margin-left:-61.95pt;margin-top:-56.05pt;width:55.5pt;height:56.25pt;flip:y;z-index:251658240;mso-position-horizontal-relative:text;mso-position-vertical-relative:text" o:connectortype="straight"/>
              </w:pict>
            </w:r>
          </w:p>
        </w:tc>
      </w:tr>
    </w:tbl>
    <w:p w:rsidR="006C4ABF" w:rsidRDefault="00C563A9" w:rsidP="008E2B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3A9" w:rsidRDefault="006C4ABF" w:rsidP="008E2B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Because each of the </w:t>
      </w:r>
      <w:r w:rsidR="00C563A9">
        <w:rPr>
          <w:rFonts w:ascii="Times New Roman" w:hAnsi="Times New Roman" w:cs="Times New Roman"/>
          <w:sz w:val="24"/>
          <w:szCs w:val="24"/>
        </w:rPr>
        <w:t xml:space="preserve">four areas </w:t>
      </w:r>
      <w:r w:rsidR="00B92129">
        <w:rPr>
          <w:rFonts w:ascii="Times New Roman" w:hAnsi="Times New Roman" w:cs="Times New Roman"/>
          <w:sz w:val="24"/>
          <w:szCs w:val="24"/>
        </w:rPr>
        <w:t>are</w:t>
      </w:r>
      <w:r w:rsidR="00C563A9">
        <w:rPr>
          <w:rFonts w:ascii="Times New Roman" w:hAnsi="Times New Roman" w:cs="Times New Roman"/>
          <w:sz w:val="24"/>
          <w:szCs w:val="24"/>
        </w:rPr>
        <w:t xml:space="preserve"> cut on the dia</w:t>
      </w:r>
      <w:r>
        <w:rPr>
          <w:rFonts w:ascii="Times New Roman" w:hAnsi="Times New Roman" w:cs="Times New Roman"/>
          <w:sz w:val="24"/>
          <w:szCs w:val="24"/>
        </w:rPr>
        <w:t>gonal, these must be exactly equal</w:t>
      </w:r>
      <w:r w:rsidR="00C563A9">
        <w:rPr>
          <w:rFonts w:ascii="Times New Roman" w:hAnsi="Times New Roman" w:cs="Times New Roman"/>
          <w:sz w:val="24"/>
          <w:szCs w:val="24"/>
        </w:rPr>
        <w:t xml:space="preserve">. Logically the red quad must be exactly half of the yellow square. </w:t>
      </w:r>
    </w:p>
    <w:p w:rsidR="006C4ABF" w:rsidRDefault="006C4ABF" w:rsidP="008E2B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BBD" w:rsidRDefault="00EF2BBD" w:rsidP="008E2B1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If you want to use algebra, just add up the sum of all the yellow triangles: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 ab</m:t>
        </m:r>
      </m:oMath>
    </w:p>
    <w:p w:rsidR="00260DB1" w:rsidRPr="00EF2BBD" w:rsidRDefault="00EF2BBD" w:rsidP="00CE508A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And compare this to the area of the yellow square: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+2ab</m:t>
        </m:r>
      </m:oMath>
    </w:p>
    <w:p w:rsidR="00EF2BBD" w:rsidRDefault="00EF2BBD" w:rsidP="00CE5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confirms that the red quad is exactly half of the yellow square.</w:t>
      </w:r>
    </w:p>
    <w:p w:rsidR="00EF2BBD" w:rsidRDefault="00EF2BBD" w:rsidP="00CE5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BBD" w:rsidRDefault="00EF2BBD" w:rsidP="00CE5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second problem is exactly the same, just that the four areas are arranged differen</w:t>
      </w:r>
      <w:r w:rsidR="00FF4243">
        <w:rPr>
          <w:rFonts w:ascii="Times New Roman" w:hAnsi="Times New Roman" w:cs="Times New Roman"/>
          <w:sz w:val="24"/>
          <w:szCs w:val="24"/>
        </w:rPr>
        <w:t>tly within the yellow box</w:t>
      </w:r>
      <w:r>
        <w:rPr>
          <w:rFonts w:ascii="Times New Roman" w:hAnsi="Times New Roman" w:cs="Times New Roman"/>
          <w:sz w:val="24"/>
          <w:szCs w:val="24"/>
        </w:rPr>
        <w:t xml:space="preserve"> – see diagram. </w:t>
      </w:r>
    </w:p>
    <w:p w:rsidR="00FF4243" w:rsidRDefault="00FF4243" w:rsidP="00CE5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34"/>
        <w:gridCol w:w="2552"/>
      </w:tblGrid>
      <w:tr w:rsidR="00FF4243" w:rsidTr="00EF2BBD">
        <w:trPr>
          <w:trHeight w:val="1134"/>
        </w:trPr>
        <w:tc>
          <w:tcPr>
            <w:tcW w:w="1134" w:type="dxa"/>
          </w:tcPr>
          <w:p w:rsidR="00FF4243" w:rsidRDefault="00177DC9" w:rsidP="00CE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5" type="#_x0000_t32" style="position:absolute;left:0;text-align:left;margin-left:50.25pt;margin-top:1.15pt;width:127.5pt;height:127.5pt;z-index:25166745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3" type="#_x0000_t32" style="position:absolute;left:0;text-align:left;margin-left:-5.25pt;margin-top:1.15pt;width:55.5pt;height:56.25pt;flip:y;z-index:251665408" o:connectortype="straight"/>
              </w:pict>
            </w:r>
          </w:p>
        </w:tc>
        <w:tc>
          <w:tcPr>
            <w:tcW w:w="2552" w:type="dxa"/>
            <w:vMerge w:val="restart"/>
          </w:tcPr>
          <w:p w:rsidR="00FF4243" w:rsidRDefault="00FF4243" w:rsidP="00CE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43" w:rsidTr="00FF4243">
        <w:trPr>
          <w:trHeight w:val="1418"/>
        </w:trPr>
        <w:tc>
          <w:tcPr>
            <w:tcW w:w="1134" w:type="dxa"/>
            <w:vMerge w:val="restart"/>
          </w:tcPr>
          <w:p w:rsidR="00FF4243" w:rsidRDefault="00177DC9" w:rsidP="00CE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6" type="#_x0000_t32" style="position:absolute;left:0;text-align:left;margin-left:-5.25pt;margin-top:.2pt;width:55.5pt;height:128.25pt;z-index:2516684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4" type="#_x0000_t32" style="position:absolute;left:0;text-align:left;margin-left:50.25pt;margin-top:71.45pt;width:127.5pt;height:57pt;flip:y;z-index:251666432;mso-position-horizontal-relative:text;mso-position-vertical-relative:text" o:connectortype="straight"/>
              </w:pict>
            </w:r>
          </w:p>
        </w:tc>
        <w:tc>
          <w:tcPr>
            <w:tcW w:w="2552" w:type="dxa"/>
            <w:vMerge/>
          </w:tcPr>
          <w:p w:rsidR="00FF4243" w:rsidRDefault="00FF4243" w:rsidP="00CE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BD" w:rsidTr="00FF4243">
        <w:trPr>
          <w:trHeight w:val="1134"/>
        </w:trPr>
        <w:tc>
          <w:tcPr>
            <w:tcW w:w="1134" w:type="dxa"/>
            <w:vMerge/>
          </w:tcPr>
          <w:p w:rsidR="00EF2BBD" w:rsidRDefault="00EF2BBD" w:rsidP="00CE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2BBD" w:rsidRDefault="00EF2BBD" w:rsidP="00CE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BBD" w:rsidRDefault="00EF2BBD" w:rsidP="00CE5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4243" w:rsidRDefault="00FF4243" w:rsidP="00CE508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same logic and algebra applies, but this time the four areas (clockwise) are: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 ab,ab.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Because addition is commutative </w:t>
      </w:r>
      <w:r w:rsidR="00B92129">
        <w:rPr>
          <w:rFonts w:ascii="Times New Roman" w:eastAsiaTheme="minorEastAsia" w:hAnsi="Times New Roman" w:cs="Times New Roman"/>
          <w:sz w:val="24"/>
          <w:szCs w:val="24"/>
        </w:rPr>
        <w:t xml:space="preserve">it </w:t>
      </w:r>
      <w:r>
        <w:rPr>
          <w:rFonts w:ascii="Times New Roman" w:eastAsiaTheme="minorEastAsia" w:hAnsi="Times New Roman" w:cs="Times New Roman"/>
          <w:sz w:val="24"/>
          <w:szCs w:val="24"/>
        </w:rPr>
        <w:t>gives the same result as the first problem: the red quad is half of the yellow square.</w:t>
      </w:r>
    </w:p>
    <w:p w:rsidR="00FF4243" w:rsidRDefault="00FF4243" w:rsidP="00CE508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F4243" w:rsidRDefault="00FF4243" w:rsidP="00CE508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F4243" w:rsidRDefault="00FF4243" w:rsidP="00CE508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F4243" w:rsidRDefault="00995726" w:rsidP="00CE508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For the last problem</w:t>
      </w:r>
      <w:r w:rsidR="00FF4243">
        <w:rPr>
          <w:rFonts w:ascii="Times New Roman" w:eastAsiaTheme="minorEastAsia" w:hAnsi="Times New Roman" w:cs="Times New Roman"/>
          <w:sz w:val="24"/>
          <w:szCs w:val="24"/>
        </w:rPr>
        <w:t>, look a</w:t>
      </w:r>
      <w:r w:rsidR="00FA3B03">
        <w:rPr>
          <w:rFonts w:ascii="Times New Roman" w:eastAsiaTheme="minorEastAsia" w:hAnsi="Times New Roman" w:cs="Times New Roman"/>
          <w:sz w:val="24"/>
          <w:szCs w:val="24"/>
        </w:rPr>
        <w:t>t both pictures together</w:t>
      </w:r>
      <w:r w:rsidR="00FF4243">
        <w:rPr>
          <w:rFonts w:ascii="Times New Roman" w:eastAsiaTheme="minorEastAsia" w:hAnsi="Times New Roman" w:cs="Times New Roman"/>
          <w:sz w:val="24"/>
          <w:szCs w:val="24"/>
        </w:rPr>
        <w:t xml:space="preserve">. Visually this time it is harder to see that the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two </w:t>
      </w:r>
      <w:r w:rsidR="00FF4243">
        <w:rPr>
          <w:rFonts w:ascii="Times New Roman" w:eastAsiaTheme="minorEastAsia" w:hAnsi="Times New Roman" w:cs="Times New Roman"/>
          <w:sz w:val="24"/>
          <w:szCs w:val="24"/>
        </w:rPr>
        <w:t xml:space="preserve">red quads are equal to one yellow square, because you have more red in </w:t>
      </w:r>
      <w:r w:rsidR="00FA3B03">
        <w:rPr>
          <w:rFonts w:ascii="Times New Roman" w:eastAsiaTheme="minorEastAsia" w:hAnsi="Times New Roman" w:cs="Times New Roman"/>
          <w:sz w:val="24"/>
          <w:szCs w:val="24"/>
        </w:rPr>
        <w:t xml:space="preserve">the first box than in the second box. But if you </w:t>
      </w:r>
      <w:r w:rsidR="00561BD7">
        <w:rPr>
          <w:rFonts w:ascii="Times New Roman" w:eastAsiaTheme="minorEastAsia" w:hAnsi="Times New Roman" w:cs="Times New Roman"/>
          <w:sz w:val="24"/>
          <w:szCs w:val="24"/>
        </w:rPr>
        <w:t xml:space="preserve">look carefully at the shapes not coloured red, and just </w:t>
      </w:r>
      <w:r w:rsidR="00FA3B03">
        <w:rPr>
          <w:rFonts w:ascii="Times New Roman" w:eastAsiaTheme="minorEastAsia" w:hAnsi="Times New Roman" w:cs="Times New Roman"/>
          <w:sz w:val="24"/>
          <w:szCs w:val="24"/>
        </w:rPr>
        <w:t>add up the area of all the yellow triangles</w:t>
      </w:r>
      <w:r w:rsidR="00561BD7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FA3B03">
        <w:rPr>
          <w:rFonts w:ascii="Times New Roman" w:eastAsiaTheme="minorEastAsia" w:hAnsi="Times New Roman" w:cs="Times New Roman"/>
          <w:sz w:val="24"/>
          <w:szCs w:val="24"/>
        </w:rPr>
        <w:t xml:space="preserve"> you would fill one box completely, logically l</w:t>
      </w:r>
      <w:r w:rsidR="00561BD7">
        <w:rPr>
          <w:rFonts w:ascii="Times New Roman" w:eastAsiaTheme="minorEastAsia" w:hAnsi="Times New Roman" w:cs="Times New Roman"/>
          <w:sz w:val="24"/>
          <w:szCs w:val="24"/>
        </w:rPr>
        <w:t xml:space="preserve">eaving the other box coloured </w:t>
      </w:r>
      <w:r w:rsidR="00FA3B03">
        <w:rPr>
          <w:rFonts w:ascii="Times New Roman" w:eastAsiaTheme="minorEastAsia" w:hAnsi="Times New Roman" w:cs="Times New Roman"/>
          <w:sz w:val="24"/>
          <w:szCs w:val="24"/>
        </w:rPr>
        <w:t>red.</w:t>
      </w:r>
    </w:p>
    <w:p w:rsidR="00FA3B03" w:rsidRDefault="00FA3B03" w:rsidP="00CE508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A3B03" w:rsidRDefault="00FA3B03" w:rsidP="00FA3B0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Sum of yellow</w:t>
      </w:r>
      <w:r w:rsidRPr="00FA3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triangles in the first yellow box =   </w:t>
      </w:r>
      <m:oMath>
        <m:r>
          <w:rPr>
            <w:rFonts w:ascii="Cambria Math" w:hAnsi="Cambria Math" w:cs="Times New Roman"/>
            <w:sz w:val="24"/>
            <w:szCs w:val="24"/>
          </w:rPr>
          <m:t>4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ab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=2ab</m:t>
        </m:r>
      </m:oMath>
    </w:p>
    <w:p w:rsidR="00FA3B03" w:rsidRDefault="00FA3B03" w:rsidP="00FA3B0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Sum of yellow</w:t>
      </w:r>
      <w:r w:rsidRPr="00FA3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triangles in the second yellow box =  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2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:rsidR="00FA3B03" w:rsidRPr="00561BD7" w:rsidRDefault="00FA3B03" w:rsidP="00FA3B0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Sum of all yellow</w:t>
      </w:r>
      <w:r w:rsidRPr="00FA3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triangles in both yellow boxes =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+2ab</m:t>
        </m:r>
      </m:oMath>
    </w:p>
    <w:p w:rsidR="00FA3B03" w:rsidRDefault="00FA3B03" w:rsidP="00CE5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B03" w:rsidRDefault="00FA3B03" w:rsidP="00CE508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561BD7">
        <w:rPr>
          <w:rFonts w:ascii="Times New Roman" w:hAnsi="Times New Roman" w:cs="Times New Roman"/>
          <w:sz w:val="24"/>
          <w:szCs w:val="24"/>
        </w:rPr>
        <w:t xml:space="preserve">already </w:t>
      </w:r>
      <w:r>
        <w:rPr>
          <w:rFonts w:ascii="Times New Roman" w:hAnsi="Times New Roman" w:cs="Times New Roman"/>
          <w:sz w:val="24"/>
          <w:szCs w:val="24"/>
        </w:rPr>
        <w:t>know that</w:t>
      </w:r>
      <w:r w:rsidR="00561BD7">
        <w:rPr>
          <w:rFonts w:ascii="Times New Roman" w:hAnsi="Times New Roman" w:cs="Times New Roman"/>
          <w:sz w:val="24"/>
          <w:szCs w:val="24"/>
        </w:rPr>
        <w:t xml:space="preserve"> the area of one yellow square = </w:t>
      </w:r>
      <w:r w:rsidR="00B92129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+2ab</m:t>
        </m:r>
      </m:oMath>
      <w:r w:rsidR="00561BD7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561BD7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FA3B03">
        <w:rPr>
          <w:rFonts w:ascii="Times New Roman" w:eastAsiaTheme="minorEastAsia" w:hAnsi="Times New Roman" w:cs="Times New Roman"/>
          <w:sz w:val="24"/>
          <w:szCs w:val="24"/>
        </w:rPr>
        <w:t>o the area of two yell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ow squares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+2ab</m:t>
            </m:r>
          </m:e>
        </m:d>
      </m:oMath>
    </w:p>
    <w:p w:rsidR="00561BD7" w:rsidRDefault="00561BD7" w:rsidP="00CE508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40DAD" w:rsidRDefault="00561BD7" w:rsidP="00340DA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Anything not coloured yellow must be red, so this proves that the area of the two red quads sum t</w:t>
      </w:r>
      <w:r w:rsidR="00340DAD">
        <w:rPr>
          <w:rFonts w:ascii="Times New Roman" w:eastAsiaTheme="minorEastAsia" w:hAnsi="Times New Roman" w:cs="Times New Roman"/>
          <w:sz w:val="24"/>
          <w:szCs w:val="24"/>
        </w:rPr>
        <w:t xml:space="preserve">o the area of one yellow square. From this you can calculate the area of the red </w:t>
      </w:r>
      <w:r w:rsidR="00DC5BCC">
        <w:rPr>
          <w:rFonts w:ascii="Times New Roman" w:eastAsiaTheme="minorEastAsia" w:hAnsi="Times New Roman" w:cs="Times New Roman"/>
          <w:sz w:val="24"/>
          <w:szCs w:val="24"/>
        </w:rPr>
        <w:t>quads:</w:t>
      </w:r>
    </w:p>
    <w:p w:rsidR="00340DAD" w:rsidRDefault="00340DAD" w:rsidP="00340DA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C5BCC" w:rsidRDefault="00DC5BCC" w:rsidP="00DC5B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C5BCC">
        <w:rPr>
          <w:rFonts w:ascii="Times New Roman" w:hAnsi="Times New Roman" w:cs="Times New Roman"/>
          <w:sz w:val="24"/>
          <w:szCs w:val="24"/>
          <w:highlight w:val="yellow"/>
        </w:rPr>
        <w:t xml:space="preserve">Area of one yellow square =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highlight w:val="yellow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highlight w:val="yellow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highlight w:val="yellow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highlight w:val="yellow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highlight w:val="yellow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highlight w:val="yellow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highlight w:val="yellow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highlight w:val="yellow"/>
          </w:rPr>
          <m:t>+2ab</m:t>
        </m:r>
      </m:oMath>
      <w:r w:rsidRPr="00DC5BCC">
        <w:rPr>
          <w:rFonts w:ascii="Times New Roman" w:eastAsiaTheme="minorEastAsia" w:hAnsi="Times New Roman" w:cs="Times New Roman"/>
          <w:sz w:val="28"/>
          <w:szCs w:val="28"/>
          <w:highlight w:val="yellow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C5BCC" w:rsidRPr="00102DA2" w:rsidRDefault="00A2621B" w:rsidP="00DC5B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DC5BCC">
        <w:rPr>
          <w:rFonts w:ascii="Times New Roman" w:eastAsiaTheme="minorEastAsia" w:hAnsi="Times New Roman" w:cs="Times New Roman"/>
          <w:sz w:val="24"/>
          <w:szCs w:val="24"/>
        </w:rPr>
        <w:t>um of yellow</w:t>
      </w:r>
      <w:r w:rsidR="00DC5BCC" w:rsidRPr="00FA3B03">
        <w:rPr>
          <w:rFonts w:ascii="Times New Roman" w:hAnsi="Times New Roman" w:cs="Times New Roman"/>
          <w:sz w:val="24"/>
          <w:szCs w:val="24"/>
        </w:rPr>
        <w:t xml:space="preserve"> </w:t>
      </w:r>
      <w:r w:rsidR="00DC5BCC">
        <w:rPr>
          <w:rFonts w:ascii="Times New Roman" w:hAnsi="Times New Roman" w:cs="Times New Roman"/>
          <w:sz w:val="24"/>
          <w:szCs w:val="24"/>
        </w:rPr>
        <w:t xml:space="preserve">triangles in the first yellow box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=2ab</m:t>
        </m:r>
      </m:oMath>
      <w:r w:rsidR="00DC5BC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C5BCC">
        <w:rPr>
          <w:rFonts w:ascii="Times New Roman" w:eastAsiaTheme="minorEastAsia" w:hAnsi="Times New Roman" w:cs="Times New Roman"/>
          <w:sz w:val="24"/>
          <w:szCs w:val="24"/>
        </w:rPr>
        <w:t xml:space="preserve"> so the area of first red quad must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:rsidR="00DC5BCC" w:rsidRPr="00102DA2" w:rsidRDefault="00A2621B" w:rsidP="00DC5B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DC5BCC">
        <w:rPr>
          <w:rFonts w:ascii="Times New Roman" w:eastAsiaTheme="minorEastAsia" w:hAnsi="Times New Roman" w:cs="Times New Roman"/>
          <w:sz w:val="24"/>
          <w:szCs w:val="24"/>
        </w:rPr>
        <w:t>um of yellow</w:t>
      </w:r>
      <w:r w:rsidR="00DC5BCC" w:rsidRPr="00FA3B03">
        <w:rPr>
          <w:rFonts w:ascii="Times New Roman" w:hAnsi="Times New Roman" w:cs="Times New Roman"/>
          <w:sz w:val="24"/>
          <w:szCs w:val="24"/>
        </w:rPr>
        <w:t xml:space="preserve"> </w:t>
      </w:r>
      <w:r w:rsidR="00DC5BCC">
        <w:rPr>
          <w:rFonts w:ascii="Times New Roman" w:hAnsi="Times New Roman" w:cs="Times New Roman"/>
          <w:sz w:val="24"/>
          <w:szCs w:val="24"/>
        </w:rPr>
        <w:t xml:space="preserve">triangles in the second yellow box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DC5BC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C5BCC">
        <w:rPr>
          <w:rFonts w:ascii="Times New Roman" w:eastAsiaTheme="minorEastAsia" w:hAnsi="Times New Roman" w:cs="Times New Roman"/>
          <w:sz w:val="24"/>
          <w:szCs w:val="24"/>
        </w:rPr>
        <w:t xml:space="preserve"> so the area of second red quad must = </w:t>
      </w:r>
      <m:oMath>
        <m:r>
          <w:rPr>
            <w:rFonts w:ascii="Cambria Math" w:hAnsi="Cambria Math" w:cs="Times New Roman"/>
            <w:sz w:val="28"/>
            <w:szCs w:val="28"/>
          </w:rPr>
          <m:t>2ab</m:t>
        </m:r>
      </m:oMath>
    </w:p>
    <w:p w:rsidR="00DC5BCC" w:rsidRPr="00102DA2" w:rsidRDefault="00A2621B" w:rsidP="00DC5B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yellow"/>
        </w:rPr>
        <w:t>S</w:t>
      </w:r>
      <w:r w:rsidR="00DC5BCC" w:rsidRPr="00DC5BCC">
        <w:rPr>
          <w:rFonts w:ascii="Times New Roman" w:eastAsiaTheme="minorEastAsia" w:hAnsi="Times New Roman" w:cs="Times New Roman"/>
          <w:sz w:val="24"/>
          <w:szCs w:val="24"/>
          <w:highlight w:val="yellow"/>
        </w:rPr>
        <w:t xml:space="preserve">um of both red quads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highlight w:val="yellow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highlight w:val="yellow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highlight w:val="yellow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highlight w:val="yellow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highlight w:val="yellow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highlight w:val="yellow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highlight w:val="yellow"/>
              </w:rPr>
              <m:t xml:space="preserve">2 </m:t>
            </m:r>
          </m:sup>
        </m:sSup>
        <m:r>
          <w:rPr>
            <w:rFonts w:ascii="Cambria Math" w:hAnsi="Cambria Math" w:cs="Times New Roman"/>
            <w:sz w:val="28"/>
            <w:szCs w:val="28"/>
            <w:highlight w:val="yellow"/>
          </w:rPr>
          <m:t>+2ab</m:t>
        </m:r>
      </m:oMath>
    </w:p>
    <w:p w:rsidR="00DC5BCC" w:rsidRDefault="00DC5BCC" w:rsidP="00340DA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92129" w:rsidRDefault="00B92129" w:rsidP="00CE508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02DA2" w:rsidRDefault="00A2621B" w:rsidP="00CE508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You can </w:t>
      </w:r>
      <w:r w:rsidR="00B92129">
        <w:rPr>
          <w:rFonts w:ascii="Times New Roman" w:eastAsiaTheme="minorEastAsia" w:hAnsi="Times New Roman" w:cs="Times New Roman"/>
          <w:sz w:val="24"/>
          <w:szCs w:val="24"/>
        </w:rPr>
        <w:t>solve this problem visually</w:t>
      </w:r>
      <w:r w:rsidR="00120904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but you have to </w:t>
      </w:r>
      <w:r w:rsidR="00B92129">
        <w:rPr>
          <w:rFonts w:ascii="Times New Roman" w:eastAsiaTheme="minorEastAsia" w:hAnsi="Times New Roman" w:cs="Times New Roman"/>
          <w:sz w:val="24"/>
          <w:szCs w:val="24"/>
        </w:rPr>
        <w:t>look back to the first</w:t>
      </w:r>
      <w:r w:rsidR="00120904">
        <w:rPr>
          <w:rFonts w:ascii="Times New Roman" w:eastAsiaTheme="minorEastAsia" w:hAnsi="Times New Roman" w:cs="Times New Roman"/>
          <w:sz w:val="24"/>
          <w:szCs w:val="24"/>
        </w:rPr>
        <w:t xml:space="preserve"> picture</w:t>
      </w:r>
      <w:r w:rsidR="00B92129">
        <w:rPr>
          <w:rFonts w:ascii="Times New Roman" w:eastAsiaTheme="minorEastAsia" w:hAnsi="Times New Roman" w:cs="Times New Roman"/>
          <w:sz w:val="24"/>
          <w:szCs w:val="24"/>
        </w:rPr>
        <w:t xml:space="preserve"> at the start of this solution</w:t>
      </w:r>
      <w:r w:rsidR="00120904">
        <w:rPr>
          <w:rFonts w:ascii="Times New Roman" w:eastAsiaTheme="minorEastAsia" w:hAnsi="Times New Roman" w:cs="Times New Roman"/>
          <w:sz w:val="24"/>
          <w:szCs w:val="24"/>
        </w:rPr>
        <w:t xml:space="preserve">: the area of the yellow box was made up of </w:t>
      </w:r>
      <w:r w:rsidR="00B92129">
        <w:rPr>
          <w:rFonts w:ascii="Times New Roman" w:eastAsiaTheme="minorEastAsia" w:hAnsi="Times New Roman" w:cs="Times New Roman"/>
          <w:sz w:val="24"/>
          <w:szCs w:val="24"/>
        </w:rPr>
        <w:t>2 triangles totalling area</w:t>
      </w:r>
      <w:r w:rsidR="0012090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B92129">
        <w:rPr>
          <w:rFonts w:ascii="Times New Roman" w:eastAsiaTheme="minorEastAsia" w:hAnsi="Times New Roman" w:cs="Times New Roman"/>
          <w:sz w:val="24"/>
          <w:szCs w:val="24"/>
        </w:rPr>
        <w:t xml:space="preserve">, 2 triangles totalling area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B92129">
        <w:rPr>
          <w:rFonts w:ascii="Times New Roman" w:eastAsiaTheme="minorEastAsia" w:hAnsi="Times New Roman" w:cs="Times New Roman"/>
          <w:sz w:val="24"/>
          <w:szCs w:val="24"/>
        </w:rPr>
        <w:t xml:space="preserve"> and 4 triangles totalling area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2ab</m:t>
        </m:r>
      </m:oMath>
      <w:r w:rsidR="00B92129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120904">
        <w:rPr>
          <w:rFonts w:ascii="Times New Roman" w:eastAsiaTheme="minorEastAsia" w:hAnsi="Times New Roman" w:cs="Times New Roman"/>
          <w:sz w:val="24"/>
          <w:szCs w:val="24"/>
        </w:rPr>
        <w:t xml:space="preserve"> Now sum the area of all the yellow triangles </w:t>
      </w:r>
      <w:r w:rsidR="00102DA2">
        <w:rPr>
          <w:rFonts w:ascii="Times New Roman" w:eastAsiaTheme="minorEastAsia" w:hAnsi="Times New Roman" w:cs="Times New Roman"/>
          <w:sz w:val="24"/>
          <w:szCs w:val="24"/>
        </w:rPr>
        <w:t>across the two boxes in</w:t>
      </w:r>
      <w:r w:rsidR="0012090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02DA2">
        <w:rPr>
          <w:rFonts w:ascii="Times New Roman" w:eastAsiaTheme="minorEastAsia" w:hAnsi="Times New Roman" w:cs="Times New Roman"/>
          <w:sz w:val="24"/>
          <w:szCs w:val="24"/>
        </w:rPr>
        <w:t xml:space="preserve">this problem, </w:t>
      </w:r>
      <w:r w:rsidR="00120904">
        <w:rPr>
          <w:rFonts w:ascii="Times New Roman" w:eastAsiaTheme="minorEastAsia" w:hAnsi="Times New Roman" w:cs="Times New Roman"/>
          <w:sz w:val="24"/>
          <w:szCs w:val="24"/>
        </w:rPr>
        <w:t xml:space="preserve">they also contain 2 triangles totalling area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120904">
        <w:rPr>
          <w:rFonts w:ascii="Times New Roman" w:eastAsiaTheme="minorEastAsia" w:hAnsi="Times New Roman" w:cs="Times New Roman"/>
          <w:sz w:val="24"/>
          <w:szCs w:val="24"/>
        </w:rPr>
        <w:t xml:space="preserve">, 2 triangles totalling area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120904">
        <w:rPr>
          <w:rFonts w:ascii="Times New Roman" w:eastAsiaTheme="minorEastAsia" w:hAnsi="Times New Roman" w:cs="Times New Roman"/>
          <w:sz w:val="24"/>
          <w:szCs w:val="24"/>
        </w:rPr>
        <w:t xml:space="preserve"> and 4 triangles totalling area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2ab</m:t>
        </m:r>
      </m:oMath>
      <w:r w:rsidR="00AB3B4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102D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B3B48">
        <w:rPr>
          <w:rFonts w:ascii="Times New Roman" w:eastAsiaTheme="minorEastAsia" w:hAnsi="Times New Roman" w:cs="Times New Roman"/>
          <w:sz w:val="24"/>
          <w:szCs w:val="24"/>
        </w:rPr>
        <w:t xml:space="preserve">Anything not yellow must be red, which </w:t>
      </w:r>
      <w:r w:rsidR="00F856A0">
        <w:rPr>
          <w:rFonts w:ascii="Times New Roman" w:eastAsiaTheme="minorEastAsia" w:hAnsi="Times New Roman" w:cs="Times New Roman"/>
          <w:sz w:val="24"/>
          <w:szCs w:val="24"/>
        </w:rPr>
        <w:t>confirms</w:t>
      </w:r>
      <w:r w:rsidR="00102DA2">
        <w:rPr>
          <w:rFonts w:ascii="Times New Roman" w:eastAsiaTheme="minorEastAsia" w:hAnsi="Times New Roman" w:cs="Times New Roman"/>
          <w:sz w:val="24"/>
          <w:szCs w:val="24"/>
        </w:rPr>
        <w:t xml:space="preserve"> that the red quads sum to exactl</w:t>
      </w:r>
      <w:r w:rsidR="00F00841">
        <w:rPr>
          <w:rFonts w:ascii="Times New Roman" w:eastAsiaTheme="minorEastAsia" w:hAnsi="Times New Roman" w:cs="Times New Roman"/>
          <w:sz w:val="24"/>
          <w:szCs w:val="24"/>
        </w:rPr>
        <w:t>y</w:t>
      </w:r>
      <w:r w:rsidR="00AB3B48">
        <w:rPr>
          <w:rFonts w:ascii="Times New Roman" w:eastAsiaTheme="minorEastAsia" w:hAnsi="Times New Roman" w:cs="Times New Roman"/>
          <w:sz w:val="24"/>
          <w:szCs w:val="24"/>
        </w:rPr>
        <w:t xml:space="preserve"> the area of one yellow square.</w:t>
      </w:r>
    </w:p>
    <w:p w:rsidR="00120904" w:rsidRDefault="00120904" w:rsidP="00CE508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02DA2" w:rsidRPr="00B92129" w:rsidRDefault="00102DA2" w:rsidP="00102DA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20904" w:rsidRPr="00B92129" w:rsidRDefault="00120904" w:rsidP="00CE508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ectPr w:rsidR="00120904" w:rsidRPr="00B92129" w:rsidSect="00EE3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A2E83"/>
    <w:multiLevelType w:val="hybridMultilevel"/>
    <w:tmpl w:val="37120D6A"/>
    <w:lvl w:ilvl="0" w:tplc="0F547E20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398F"/>
    <w:rsid w:val="000108C0"/>
    <w:rsid w:val="00020240"/>
    <w:rsid w:val="00023781"/>
    <w:rsid w:val="0004218A"/>
    <w:rsid w:val="000501FC"/>
    <w:rsid w:val="000879BF"/>
    <w:rsid w:val="000B4189"/>
    <w:rsid w:val="00100ECC"/>
    <w:rsid w:val="00102DA2"/>
    <w:rsid w:val="0010324D"/>
    <w:rsid w:val="00120904"/>
    <w:rsid w:val="00125FD9"/>
    <w:rsid w:val="001416AE"/>
    <w:rsid w:val="00177DC9"/>
    <w:rsid w:val="00194BFB"/>
    <w:rsid w:val="001A3912"/>
    <w:rsid w:val="001C2F83"/>
    <w:rsid w:val="001F2D88"/>
    <w:rsid w:val="00201BF8"/>
    <w:rsid w:val="002276F2"/>
    <w:rsid w:val="00250C18"/>
    <w:rsid w:val="00260DB1"/>
    <w:rsid w:val="00292C40"/>
    <w:rsid w:val="002F5285"/>
    <w:rsid w:val="002F6E23"/>
    <w:rsid w:val="00325A18"/>
    <w:rsid w:val="00340DAD"/>
    <w:rsid w:val="003443E1"/>
    <w:rsid w:val="00351B84"/>
    <w:rsid w:val="003B66CC"/>
    <w:rsid w:val="003C2EF4"/>
    <w:rsid w:val="003E42BA"/>
    <w:rsid w:val="003E528E"/>
    <w:rsid w:val="003E66BB"/>
    <w:rsid w:val="00451523"/>
    <w:rsid w:val="00475848"/>
    <w:rsid w:val="004B55C5"/>
    <w:rsid w:val="004C6F99"/>
    <w:rsid w:val="004E3C99"/>
    <w:rsid w:val="00500CFE"/>
    <w:rsid w:val="00541C85"/>
    <w:rsid w:val="00561BD7"/>
    <w:rsid w:val="00591179"/>
    <w:rsid w:val="005C11B0"/>
    <w:rsid w:val="005F696A"/>
    <w:rsid w:val="00621654"/>
    <w:rsid w:val="00650A11"/>
    <w:rsid w:val="00653BBE"/>
    <w:rsid w:val="0067235E"/>
    <w:rsid w:val="006A53ED"/>
    <w:rsid w:val="006B5446"/>
    <w:rsid w:val="006C4ABF"/>
    <w:rsid w:val="006C7E59"/>
    <w:rsid w:val="006F2C1D"/>
    <w:rsid w:val="00711DB9"/>
    <w:rsid w:val="00734E89"/>
    <w:rsid w:val="007419A6"/>
    <w:rsid w:val="007A4E1B"/>
    <w:rsid w:val="007C574C"/>
    <w:rsid w:val="007D3A3F"/>
    <w:rsid w:val="007F6962"/>
    <w:rsid w:val="008173F4"/>
    <w:rsid w:val="008608B0"/>
    <w:rsid w:val="00862E25"/>
    <w:rsid w:val="00863EAC"/>
    <w:rsid w:val="00871870"/>
    <w:rsid w:val="0087202D"/>
    <w:rsid w:val="0089397F"/>
    <w:rsid w:val="008B6221"/>
    <w:rsid w:val="008E16E4"/>
    <w:rsid w:val="008E2B18"/>
    <w:rsid w:val="00927FE2"/>
    <w:rsid w:val="00995726"/>
    <w:rsid w:val="009A4C3F"/>
    <w:rsid w:val="009A7AC8"/>
    <w:rsid w:val="00A10299"/>
    <w:rsid w:val="00A150B4"/>
    <w:rsid w:val="00A2621B"/>
    <w:rsid w:val="00A2732C"/>
    <w:rsid w:val="00A40019"/>
    <w:rsid w:val="00A440C5"/>
    <w:rsid w:val="00A57AE4"/>
    <w:rsid w:val="00A74C44"/>
    <w:rsid w:val="00A837A7"/>
    <w:rsid w:val="00A85322"/>
    <w:rsid w:val="00AB3B48"/>
    <w:rsid w:val="00AC3039"/>
    <w:rsid w:val="00AE1519"/>
    <w:rsid w:val="00AF1A93"/>
    <w:rsid w:val="00B12582"/>
    <w:rsid w:val="00B2650F"/>
    <w:rsid w:val="00B64E48"/>
    <w:rsid w:val="00B92129"/>
    <w:rsid w:val="00B96D1B"/>
    <w:rsid w:val="00BB6208"/>
    <w:rsid w:val="00BC7BD7"/>
    <w:rsid w:val="00BD4C6E"/>
    <w:rsid w:val="00BF5F3B"/>
    <w:rsid w:val="00C10E36"/>
    <w:rsid w:val="00C24362"/>
    <w:rsid w:val="00C54B7C"/>
    <w:rsid w:val="00C563A9"/>
    <w:rsid w:val="00CB0EAD"/>
    <w:rsid w:val="00CE4E87"/>
    <w:rsid w:val="00CE508A"/>
    <w:rsid w:val="00D23289"/>
    <w:rsid w:val="00D7467F"/>
    <w:rsid w:val="00DC5BCC"/>
    <w:rsid w:val="00E574C2"/>
    <w:rsid w:val="00E7273F"/>
    <w:rsid w:val="00EE398F"/>
    <w:rsid w:val="00EF2BBD"/>
    <w:rsid w:val="00F00841"/>
    <w:rsid w:val="00F30BD8"/>
    <w:rsid w:val="00F325C7"/>
    <w:rsid w:val="00F856A0"/>
    <w:rsid w:val="00F959CF"/>
    <w:rsid w:val="00FA1325"/>
    <w:rsid w:val="00FA3B03"/>
    <w:rsid w:val="00FF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9" type="connector" idref="#_x0000_s1028"/>
        <o:r id="V:Rule10" type="connector" idref="#_x0000_s1036"/>
        <o:r id="V:Rule11" type="connector" idref="#_x0000_s1035"/>
        <o:r id="V:Rule12" type="connector" idref="#_x0000_s1026"/>
        <o:r id="V:Rule13" type="connector" idref="#_x0000_s1034"/>
        <o:r id="V:Rule14" type="connector" idref="#_x0000_s1027"/>
        <o:r id="V:Rule15" type="connector" idref="#_x0000_s1029"/>
        <o:r id="V:Rule1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8F"/>
  </w:style>
  <w:style w:type="paragraph" w:styleId="Heading1">
    <w:name w:val="heading 1"/>
    <w:basedOn w:val="Normal"/>
    <w:link w:val="Heading1Char"/>
    <w:uiPriority w:val="9"/>
    <w:qFormat/>
    <w:rsid w:val="00CB0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E66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0E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0EA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B0E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B0E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14</cp:revision>
  <cp:lastPrinted>2015-02-01T09:43:00Z</cp:lastPrinted>
  <dcterms:created xsi:type="dcterms:W3CDTF">2015-01-30T09:53:00Z</dcterms:created>
  <dcterms:modified xsi:type="dcterms:W3CDTF">2015-02-01T09:53:00Z</dcterms:modified>
</cp:coreProperties>
</file>