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ancient Egyptians didn't write fractions with a numerator greater than 1 - they wouldn't, for example, write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7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9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123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467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…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Instead they wrote fractions like these as a sum of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different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unit fractions.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i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There are several NRICH problems based on Egyptian fractions. The first, 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Keep it Simple</w:t>
      </w:r>
      <w:r w:rsidDel="00000000" w:rsidR="00000000" w:rsidRPr="00000000">
        <w:rPr>
          <w:rFonts w:ascii="Verdana" w:cs="Verdana" w:eastAsia="Verdana" w:hAnsi="Verdana"/>
          <w:i w:val="1"/>
          <w:color w:val="337ab7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highlight w:val="white"/>
          <w:rtl w:val="0"/>
        </w:rPr>
        <w:t xml:space="preserve">http://nrich.maths.org/6540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), explores unit fractions.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this problem we are going to start by considering how the Egyptians might have written fractions with a numerator of 2 (i.e. of the form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n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example,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Verdana" w:cs="Verdana" w:eastAsia="Verdana" w:hAnsi="Verdana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(but since these are the same, this wasn't allowed), or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Verdana" w:cs="Verdana" w:eastAsia="Verdana" w:hAnsi="Verdana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4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or</w:t>
      </w:r>
    </w:p>
    <w:p w:rsidR="00000000" w:rsidDel="00000000" w:rsidP="00000000" w:rsidRDefault="00000000" w:rsidRPr="00000000" w14:paraId="0000000A">
      <w:pPr>
        <w:spacing w:line="276" w:lineRule="auto"/>
        <w:ind w:left="-60" w:firstLine="0"/>
        <w:rPr>
          <w:rFonts w:ascii="Verdana" w:cs="Verdana" w:eastAsia="Verdana" w:hAnsi="Verdana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20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or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Verdana" w:cs="Verdana" w:eastAsia="Verdana" w:hAnsi="Verdana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6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30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20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or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4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7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42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31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930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21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420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156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 so on, and so on!!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might want to check that these are correct.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20" w:lineRule="auto"/>
        <w:rPr>
          <w:rFonts w:ascii="Verdana" w:cs="Verdana" w:eastAsia="Verdana" w:hAnsi="Verdana"/>
          <w:highlight w:val="white"/>
        </w:rPr>
      </w:pPr>
      <w:bookmarkStart w:colFirst="0" w:colLast="0" w:name="_heading=h.62ovy259np9l" w:id="0"/>
      <w:bookmarkEnd w:id="0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BUT wouldn't it be simpler to write it as the sum of just 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two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different unit fractions?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that's quite easy,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=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+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6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But is it always so easy? Try some other fractions with a numerator of 2.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they also be written as the sum of just two different unit fractions?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220" w:line="240" w:lineRule="auto"/>
        <w:rPr>
          <w:rFonts w:ascii="Verdana" w:cs="Verdana" w:eastAsia="Verdana" w:hAnsi="Verdana"/>
          <w:highlight w:val="white"/>
        </w:rPr>
      </w:pPr>
      <w:bookmarkStart w:colFirst="0" w:colLast="0" w:name="_heading=h.wh81xhh07ti2" w:id="1"/>
      <w:bookmarkEnd w:id="1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all fractions with a numerator of 2 (i.e. of the form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n</m:t>
            </m:r>
          </m:den>
        </m:f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 be written as the sum of just 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two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different unit fractions?</w:t>
      </w:r>
    </w:p>
    <w:p w:rsidR="00000000" w:rsidDel="00000000" w:rsidP="00000000" w:rsidRDefault="00000000" w:rsidRPr="00000000" w14:paraId="00000019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an efficient method for doing this?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Next, you might want to explore fractions of the form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n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,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4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n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, </w:t>
      </w:r>
      <m:oMath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n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..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1173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Egyptian Fractions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B1pOWvPNlI8s1k65NgVDEik6DA==">AMUW2mVp78JyAkiTBhQ9LC0y+UC4YWVUnpWLZZk2x0TVt6RYj2y5GVZw28Xooe7pt2/r57V+V6/N9L85GIKt1MLVCQxW0flEBqNRQHmlfmyEQ7SrllzsROmqspmuVUSnlK1Od3a3NTa0HeBBdMQhm9swRzQj2Yy/+g==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